
<file path=[Content_Types].xml><?xml version="1.0" encoding="utf-8"?>
<Types xmlns="http://schemas.openxmlformats.org/package/2006/content-types">
  <Default ContentType="image/x-emf" Extension="emf"/>
  <Default ContentType="image/jpeg" Extension="jpeg"/>
  <Default ContentType="image/.jpg" Extension="jpg"/>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ms-visio.drawing" PartName="/word/embeddings/Microsoft_Visio___1.vsdx"/>
  <Override ContentType="application/vnd.ms-visio.drawing" PartName="/word/embeddings/Microsoft_Visio___2.vsdx"/>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720"/>
        <w:rPr>
          <w:rFonts w:ascii="仿宋_GB2312" w:hAnsi="仿宋_GB2312" w:eastAsia="仿宋_GB2312" w:cs="仿宋_GB2312"/>
          <w:sz w:val="36"/>
          <w:szCs w:val="36"/>
        </w:rPr>
      </w:pPr>
    </w:p>
    <w:p>
      <w:pPr>
        <w:ind w:firstLine="720"/>
        <w:rPr>
          <w:rFonts w:ascii="仿宋_GB2312" w:hAnsi="仿宋_GB2312" w:eastAsia="仿宋_GB2312" w:cs="仿宋_GB2312"/>
          <w:sz w:val="36"/>
          <w:szCs w:val="36"/>
        </w:rPr>
      </w:pPr>
    </w:p>
    <w:p>
      <w:pPr>
        <w:ind w:firstLine="720"/>
        <w:rPr>
          <w:rFonts w:ascii="仿宋_GB2312" w:hAnsi="仿宋_GB2312" w:eastAsia="仿宋_GB2312" w:cs="仿宋_GB2312"/>
          <w:sz w:val="36"/>
          <w:szCs w:val="36"/>
        </w:rPr>
      </w:pPr>
    </w:p>
    <w:p>
      <w:pPr>
        <w:adjustRightInd w:val="0"/>
        <w:snapToGrid w:val="0"/>
        <w:jc w:val="center"/>
        <w:outlineLvl w:val="0"/>
        <w:rPr>
          <w:rFonts w:ascii="方正小标宋_GBK" w:hAnsi="Times New Roman" w:eastAsia="方正小标宋_GBK" w:cs="Times New Roman"/>
          <w:bCs/>
          <w:sz w:val="72"/>
          <w:szCs w:val="72"/>
        </w:rPr>
      </w:pPr>
      <w:r>
        <w:rPr>
          <w:rFonts w:hint="eastAsia" w:ascii="方正小标宋_GBK" w:hAnsi="Times New Roman" w:eastAsia="方正小标宋_GBK" w:cs="Times New Roman"/>
          <w:bCs/>
          <w:sz w:val="72"/>
          <w:szCs w:val="72"/>
        </w:rPr>
        <w:t>建设项目环境影响报告表</w:t>
      </w:r>
    </w:p>
    <w:p>
      <w:pPr>
        <w:adjustRightInd w:val="0"/>
        <w:snapToGrid w:val="0"/>
        <w:spacing w:before="192" w:beforeLines="80"/>
        <w:ind w:firstLine="960"/>
        <w:jc w:val="center"/>
        <w:rPr>
          <w:rFonts w:ascii="楷体_GB2312" w:hAnsi="Times New Roman" w:eastAsia="楷体_GB2312" w:cs="Times New Roman"/>
          <w:bCs/>
          <w:sz w:val="48"/>
          <w:szCs w:val="48"/>
        </w:rPr>
      </w:pPr>
    </w:p>
    <w:p>
      <w:pPr>
        <w:adjustRightInd w:val="0"/>
        <w:snapToGrid w:val="0"/>
        <w:spacing w:before="192" w:beforeLines="80"/>
        <w:ind w:firstLine="960"/>
        <w:jc w:val="center"/>
        <w:rPr>
          <w:rFonts w:ascii="楷体_GB2312" w:hAnsi="Times New Roman" w:eastAsia="楷体_GB2312" w:cs="Times New Roman"/>
          <w:bCs/>
          <w:sz w:val="48"/>
          <w:szCs w:val="48"/>
        </w:rPr>
      </w:pPr>
      <w:r>
        <w:rPr>
          <w:rFonts w:hint="eastAsia" w:ascii="楷体_GB2312" w:hAnsi="Times New Roman" w:eastAsia="楷体_GB2312" w:cs="Times New Roman"/>
          <w:bCs/>
          <w:sz w:val="48"/>
          <w:szCs w:val="48"/>
        </w:rPr>
        <w:t>（污染影响类）</w:t>
      </w:r>
    </w:p>
    <w:p>
      <w:pPr>
        <w:ind w:firstLine="880"/>
        <w:rPr>
          <w:rFonts w:ascii="华文仿宋" w:hAnsi="华文仿宋" w:eastAsia="华文仿宋" w:cs="华文仿宋"/>
          <w:kern w:val="44"/>
          <w:sz w:val="44"/>
          <w:szCs w:val="44"/>
        </w:rPr>
      </w:pPr>
    </w:p>
    <w:p>
      <w:pPr>
        <w:ind w:firstLine="1040"/>
        <w:jc w:val="center"/>
        <w:rPr>
          <w:rFonts w:ascii="Times New Roman" w:hAnsi="Times New Roman" w:eastAsia="仿宋" w:cs="Times New Roman"/>
          <w:sz w:val="52"/>
          <w:szCs w:val="52"/>
        </w:rPr>
      </w:pPr>
    </w:p>
    <w:p>
      <w:pPr>
        <w:ind w:firstLine="880"/>
        <w:rPr>
          <w:rFonts w:ascii="Times New Roman" w:hAnsi="Times New Roman" w:eastAsia="仿宋" w:cs="Times New Roman"/>
          <w:sz w:val="44"/>
          <w:szCs w:val="44"/>
        </w:rPr>
      </w:pPr>
    </w:p>
    <w:p>
      <w:pPr>
        <w:ind w:firstLine="880"/>
        <w:rPr>
          <w:rFonts w:ascii="Times New Roman" w:hAnsi="Times New Roman" w:eastAsia="仿宋" w:cs="Times New Roman"/>
          <w:sz w:val="44"/>
          <w:szCs w:val="44"/>
        </w:rPr>
      </w:pPr>
    </w:p>
    <w:p>
      <w:pPr>
        <w:ind w:firstLine="880"/>
        <w:rPr>
          <w:rFonts w:ascii="Times New Roman" w:hAnsi="Times New Roman" w:eastAsia="仿宋" w:cs="Times New Roman"/>
          <w:sz w:val="44"/>
          <w:szCs w:val="44"/>
        </w:rPr>
      </w:pPr>
    </w:p>
    <w:p>
      <w:pPr>
        <w:ind w:firstLine="880"/>
        <w:rPr>
          <w:rFonts w:ascii="Times New Roman" w:hAnsi="Times New Roman" w:eastAsia="仿宋" w:cs="Times New Roman"/>
          <w:sz w:val="44"/>
          <w:szCs w:val="44"/>
        </w:rPr>
      </w:pPr>
    </w:p>
    <w:p>
      <w:pPr>
        <w:adjustRightInd w:val="0"/>
        <w:snapToGrid w:val="0"/>
        <w:spacing w:line="288" w:lineRule="auto"/>
        <w:ind w:left="2518" w:leftChars="342" w:hanging="1800" w:hangingChars="500"/>
        <w:rPr>
          <w:rFonts w:ascii="仿宋_GB2312" w:hAnsi="Times New Roman" w:eastAsia="仿宋_GB2312" w:cs="Times New Roman"/>
          <w:sz w:val="36"/>
          <w:szCs w:val="36"/>
          <w:u w:val="single"/>
        </w:rPr>
      </w:pPr>
      <w:r>
        <w:rPr>
          <w:rFonts w:hint="eastAsia" w:ascii="仿宋_GB2312" w:hAnsi="Times New Roman" w:eastAsia="仿宋_GB2312" w:cs="Times New Roman"/>
          <w:sz w:val="36"/>
          <w:szCs w:val="36"/>
        </w:rPr>
        <w:t>项目名称：</w:t>
      </w:r>
      <w:r>
        <w:rPr>
          <w:rFonts w:hint="eastAsia" w:ascii="仿宋_GB2312" w:hAnsi="Times New Roman" w:eastAsia="仿宋_GB2312" w:cs="Times New Roman"/>
          <w:sz w:val="36"/>
          <w:szCs w:val="36"/>
          <w:u w:val="single"/>
        </w:rPr>
        <w:t>回收破碎加工生活及食品类塑料新建项目</w:t>
      </w:r>
      <w:r>
        <w:rPr>
          <w:rFonts w:ascii="仿宋_GB2312" w:hAnsi="Times New Roman" w:eastAsia="仿宋_GB2312" w:cs="Times New Roman"/>
          <w:sz w:val="36"/>
          <w:szCs w:val="36"/>
          <w:u w:val="single"/>
        </w:rPr>
        <w:t xml:space="preserve"> </w:t>
      </w:r>
      <w:r>
        <w:rPr>
          <w:rFonts w:hint="eastAsia" w:ascii="仿宋_GB2312" w:hAnsi="Times New Roman" w:eastAsia="仿宋_GB2312" w:cs="Times New Roman"/>
          <w:sz w:val="36"/>
          <w:szCs w:val="36"/>
          <w:u w:val="single"/>
        </w:rPr>
        <w:t xml:space="preserve">               </w:t>
      </w:r>
      <w:r>
        <w:rPr>
          <w:rFonts w:ascii="仿宋_GB2312" w:hAnsi="Times New Roman" w:eastAsia="仿宋_GB2312" w:cs="Times New Roman"/>
          <w:sz w:val="36"/>
          <w:szCs w:val="36"/>
          <w:u w:val="single"/>
        </w:rPr>
        <w:t xml:space="preserve"> </w:t>
      </w:r>
    </w:p>
    <w:p>
      <w:pPr>
        <w:adjustRightInd w:val="0"/>
        <w:snapToGrid w:val="0"/>
        <w:spacing w:line="288" w:lineRule="auto"/>
        <w:ind w:firstLine="720" w:firstLineChars="200"/>
        <w:rPr>
          <w:rFonts w:ascii="仿宋_GB2312" w:hAnsi="Times New Roman" w:eastAsia="仿宋_GB2312" w:cs="Times New Roman"/>
          <w:sz w:val="36"/>
          <w:szCs w:val="36"/>
          <w:u w:val="single"/>
        </w:rPr>
      </w:pPr>
      <w:r>
        <w:rPr>
          <w:rFonts w:hint="eastAsia" w:ascii="仿宋_GB2312" w:hAnsi="Times New Roman" w:eastAsia="仿宋_GB2312" w:cs="Times New Roman"/>
          <w:sz w:val="36"/>
          <w:szCs w:val="36"/>
        </w:rPr>
        <w:t>建设单位（盖章）：</w:t>
      </w:r>
      <w:r>
        <w:rPr>
          <w:rFonts w:hint="eastAsia" w:ascii="仿宋_GB2312" w:hAnsi="Times New Roman" w:eastAsia="仿宋_GB2312" w:cs="Times New Roman"/>
          <w:sz w:val="36"/>
          <w:szCs w:val="36"/>
          <w:u w:val="single"/>
        </w:rPr>
        <w:t xml:space="preserve">抚宁区兴达塑料制品经营部   </w:t>
      </w:r>
      <w:r>
        <w:rPr>
          <w:rFonts w:ascii="仿宋_GB2312" w:hAnsi="Times New Roman" w:eastAsia="仿宋_GB2312" w:cs="Times New Roman"/>
          <w:sz w:val="36"/>
          <w:szCs w:val="36"/>
          <w:u w:val="single"/>
        </w:rPr>
        <w:t xml:space="preserve">                   </w:t>
      </w:r>
    </w:p>
    <w:p>
      <w:pPr>
        <w:adjustRightInd w:val="0"/>
        <w:snapToGrid w:val="0"/>
        <w:spacing w:line="288" w:lineRule="auto"/>
        <w:ind w:firstLine="720"/>
        <w:rPr>
          <w:rFonts w:ascii="仿宋_GB2312" w:hAnsi="Times New Roman" w:eastAsia="仿宋_GB2312" w:cs="Times New Roman"/>
          <w:sz w:val="36"/>
          <w:szCs w:val="36"/>
          <w:u w:val="single"/>
        </w:rPr>
      </w:pPr>
      <w:r>
        <w:rPr>
          <w:rFonts w:hint="eastAsia" w:ascii="仿宋_GB2312" w:hAnsi="Times New Roman" w:eastAsia="仿宋_GB2312" w:cs="Times New Roman"/>
          <w:sz w:val="36"/>
          <w:szCs w:val="36"/>
        </w:rPr>
        <w:t>编制日期：</w:t>
      </w:r>
      <w:r>
        <w:rPr>
          <w:rFonts w:hint="eastAsia" w:ascii="仿宋_GB2312" w:hAnsi="Times New Roman" w:eastAsia="仿宋_GB2312" w:cs="Times New Roman"/>
          <w:sz w:val="36"/>
          <w:szCs w:val="36"/>
          <w:u w:val="single"/>
        </w:rPr>
        <w:t xml:space="preserve"> </w:t>
      </w:r>
      <w:r>
        <w:rPr>
          <w:rFonts w:ascii="仿宋_GB2312" w:hAnsi="Times New Roman" w:eastAsia="仿宋_GB2312" w:cs="Times New Roman"/>
          <w:sz w:val="36"/>
          <w:szCs w:val="36"/>
          <w:u w:val="single"/>
        </w:rPr>
        <w:t xml:space="preserve">    二零二二年</w:t>
      </w:r>
      <w:r>
        <w:rPr>
          <w:rFonts w:hint="eastAsia" w:ascii="仿宋_GB2312" w:hAnsi="Times New Roman" w:eastAsia="仿宋_GB2312" w:cs="Times New Roman"/>
          <w:sz w:val="36"/>
          <w:szCs w:val="36"/>
          <w:u w:val="single"/>
        </w:rPr>
        <w:t>八</w:t>
      </w:r>
      <w:r>
        <w:rPr>
          <w:rFonts w:ascii="仿宋_GB2312" w:hAnsi="Times New Roman" w:eastAsia="仿宋_GB2312" w:cs="Times New Roman"/>
          <w:sz w:val="36"/>
          <w:szCs w:val="36"/>
          <w:u w:val="single"/>
        </w:rPr>
        <w:t xml:space="preserve">月                     </w:t>
      </w:r>
      <w:r>
        <w:rPr>
          <w:rFonts w:hint="eastAsia" w:ascii="仿宋_GB2312" w:hAnsi="Times New Roman" w:eastAsia="仿宋_GB2312" w:cs="Times New Roman"/>
          <w:sz w:val="36"/>
          <w:szCs w:val="36"/>
          <w:u w:val="single"/>
        </w:rPr>
        <w:t xml:space="preserve"> </w:t>
      </w:r>
    </w:p>
    <w:p>
      <w:pPr>
        <w:adjustRightInd w:val="0"/>
        <w:snapToGrid w:val="0"/>
        <w:spacing w:line="288" w:lineRule="auto"/>
        <w:ind w:firstLine="720"/>
        <w:rPr>
          <w:rFonts w:ascii="仿宋_GB2312" w:hAnsi="Times New Roman" w:eastAsia="仿宋_GB2312" w:cs="Times New Roman"/>
          <w:sz w:val="36"/>
          <w:szCs w:val="36"/>
        </w:rPr>
      </w:pPr>
      <w:bookmarkStart w:id="0" w:name="_Hlk57884087"/>
    </w:p>
    <w:bookmarkEnd w:id="0"/>
    <w:p>
      <w:pPr>
        <w:adjustRightInd w:val="0"/>
        <w:snapToGrid w:val="0"/>
        <w:spacing w:line="288" w:lineRule="auto"/>
        <w:ind w:firstLine="720"/>
        <w:jc w:val="center"/>
        <w:rPr>
          <w:rFonts w:ascii="楷体_GB2312" w:hAnsi="Times New Roman" w:eastAsia="楷体_GB2312" w:cs="Times New Roman"/>
          <w:sz w:val="36"/>
          <w:szCs w:val="36"/>
        </w:rPr>
      </w:pPr>
      <w:r>
        <w:rPr>
          <w:rFonts w:hint="eastAsia" w:ascii="楷体_GB2312" w:hAnsi="Times New Roman" w:eastAsia="楷体_GB2312" w:cs="Times New Roman"/>
          <w:sz w:val="36"/>
          <w:szCs w:val="36"/>
        </w:rPr>
        <w:t>中华人民共和国生态环境部制</w:t>
      </w:r>
    </w:p>
    <w:p>
      <w:pPr>
        <w:adjustRightInd w:val="0"/>
        <w:snapToGrid w:val="0"/>
        <w:spacing w:line="288" w:lineRule="auto"/>
        <w:ind w:firstLine="720"/>
        <w:rPr>
          <w:rFonts w:ascii="仿宋_GB2312" w:hAnsi="Times New Roman" w:eastAsia="仿宋_GB2312" w:cs="Times New Roman"/>
          <w:sz w:val="36"/>
          <w:szCs w:val="36"/>
        </w:rPr>
        <w:sectPr>
          <w:footerReference r:id="rId4" w:type="default"/>
          <w:headerReference r:id="rId3" w:type="even"/>
          <w:footerReference r:id="rId5" w:type="even"/>
          <w:pgSz w:w="11906" w:h="16838"/>
          <w:pgMar w:top="1701" w:right="1531" w:bottom="1701" w:left="1531" w:header="851" w:footer="1077" w:gutter="0"/>
          <w:pgNumType w:start="3"/>
          <w:cols w:space="720" w:num="1"/>
          <w:docGrid w:linePitch="312" w:charSpace="0"/>
        </w:sectPr>
      </w:pPr>
    </w:p>
    <w:p>
      <w:pPr>
        <w:widowControl/>
        <w:spacing w:before="100" w:beforeAutospacing="1" w:after="100" w:afterAutospacing="1"/>
        <w:jc w:val="center"/>
        <w:outlineLvl w:val="0"/>
        <w:rPr>
          <w:rFonts w:ascii="黑体" w:hAnsi="黑体" w:eastAsia="黑体" w:cs="Times New Roman"/>
          <w:snapToGrid w:val="0"/>
          <w:kern w:val="0"/>
          <w:sz w:val="30"/>
          <w:szCs w:val="30"/>
          <w:lang w:val="zh-CN"/>
        </w:rPr>
      </w:pPr>
      <w:r>
        <w:rPr>
          <w:rFonts w:hint="eastAsia" w:ascii="黑体" w:hAnsi="黑体" w:eastAsia="黑体" w:cs="Times New Roman"/>
          <w:snapToGrid w:val="0"/>
          <w:kern w:val="0"/>
          <w:sz w:val="30"/>
          <w:szCs w:val="30"/>
          <w:lang w:val="zh-CN"/>
        </w:rPr>
        <w:t>一、建设项目基本情况</w:t>
      </w:r>
    </w:p>
    <w:tbl>
      <w:tblPr>
        <w:tblStyle w:val="18"/>
        <w:tblpPr w:leftFromText="180" w:rightFromText="180" w:vertAnchor="text" w:tblpXSpec="center" w:tblpY="1"/>
        <w:tblOverlap w:val="never"/>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2382"/>
        <w:gridCol w:w="1637"/>
        <w:gridCol w:w="2212"/>
        <w:gridCol w:w="263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trPr>
        <w:tc>
          <w:tcPr>
            <w:tcW w:w="2382" w:type="dxa"/>
            <w:tcMar>
              <w:top w:w="16" w:type="dxa"/>
              <w:left w:w="16" w:type="dxa"/>
              <w:right w:w="16" w:type="dxa"/>
            </w:tcMar>
            <w:vAlign w:val="center"/>
          </w:tcPr>
          <w:p>
            <w:pPr>
              <w:adjustRightInd w:val="0"/>
              <w:snapToGrid w:val="0"/>
              <w:jc w:val="center"/>
              <w:rPr>
                <w:rFonts w:ascii="宋体" w:hAnsi="宋体" w:eastAsia="宋体" w:cs="宋体"/>
                <w:szCs w:val="21"/>
              </w:rPr>
            </w:pPr>
            <w:r>
              <w:rPr>
                <w:rFonts w:hint="eastAsia" w:ascii="宋体" w:hAnsi="宋体" w:eastAsia="宋体" w:cs="宋体"/>
                <w:szCs w:val="21"/>
              </w:rPr>
              <w:t>建设项目名称</w:t>
            </w:r>
          </w:p>
        </w:tc>
        <w:tc>
          <w:tcPr>
            <w:tcW w:w="6488" w:type="dxa"/>
            <w:gridSpan w:val="3"/>
            <w:vAlign w:val="center"/>
          </w:tcPr>
          <w:p>
            <w:pPr>
              <w:adjustRightInd w:val="0"/>
              <w:snapToGrid w:val="0"/>
              <w:jc w:val="center"/>
              <w:rPr>
                <w:rFonts w:ascii="Times New Roman" w:hAnsi="Times New Roman" w:eastAsia="宋体" w:cs="Times New Roman"/>
                <w:szCs w:val="21"/>
              </w:rPr>
            </w:pPr>
            <w:r>
              <w:rPr>
                <w:rFonts w:hint="eastAsia" w:ascii="Times New Roman" w:hAnsi="宋体" w:eastAsia="宋体" w:cs="Times New Roman"/>
                <w:szCs w:val="21"/>
              </w:rPr>
              <w:t>回收破碎加工生活及食品类塑料新建项目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trPr>
        <w:tc>
          <w:tcPr>
            <w:tcW w:w="2382" w:type="dxa"/>
            <w:tcMar>
              <w:top w:w="16" w:type="dxa"/>
              <w:left w:w="16" w:type="dxa"/>
              <w:right w:w="16" w:type="dxa"/>
            </w:tcMar>
            <w:vAlign w:val="center"/>
          </w:tcPr>
          <w:p>
            <w:pPr>
              <w:adjustRightInd w:val="0"/>
              <w:snapToGrid w:val="0"/>
              <w:jc w:val="center"/>
              <w:rPr>
                <w:rFonts w:ascii="宋体" w:hAnsi="宋体" w:eastAsia="宋体" w:cs="宋体"/>
                <w:szCs w:val="21"/>
              </w:rPr>
            </w:pPr>
            <w:r>
              <w:rPr>
                <w:rFonts w:hint="eastAsia" w:ascii="宋体" w:hAnsi="宋体" w:eastAsia="宋体" w:cs="宋体"/>
                <w:szCs w:val="21"/>
              </w:rPr>
              <w:t>项目代码</w:t>
            </w:r>
          </w:p>
        </w:tc>
        <w:tc>
          <w:tcPr>
            <w:tcW w:w="6488" w:type="dxa"/>
            <w:gridSpan w:val="3"/>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2</w:t>
            </w:r>
            <w:r>
              <w:rPr>
                <w:rFonts w:hint="eastAsia" w:ascii="Times New Roman" w:hAnsi="Times New Roman" w:eastAsia="宋体" w:cs="Times New Roman"/>
                <w:szCs w:val="21"/>
              </w:rPr>
              <w:t>207</w:t>
            </w:r>
            <w:r>
              <w:rPr>
                <w:rFonts w:ascii="Times New Roman" w:hAnsi="Times New Roman" w:eastAsia="宋体" w:cs="Times New Roman"/>
                <w:szCs w:val="21"/>
              </w:rPr>
              <w:t>-1303</w:t>
            </w:r>
            <w:r>
              <w:rPr>
                <w:rFonts w:hint="eastAsia" w:ascii="Times New Roman" w:hAnsi="Times New Roman" w:eastAsia="宋体" w:cs="Times New Roman"/>
                <w:szCs w:val="21"/>
              </w:rPr>
              <w:t>06</w:t>
            </w:r>
            <w:r>
              <w:rPr>
                <w:rFonts w:ascii="Times New Roman" w:hAnsi="Times New Roman" w:eastAsia="宋体" w:cs="Times New Roman"/>
                <w:szCs w:val="21"/>
              </w:rPr>
              <w:t>-</w:t>
            </w:r>
            <w:r>
              <w:rPr>
                <w:rFonts w:hint="eastAsia" w:ascii="Times New Roman" w:hAnsi="Times New Roman" w:eastAsia="宋体" w:cs="Times New Roman"/>
                <w:szCs w:val="21"/>
              </w:rPr>
              <w:t>89</w:t>
            </w:r>
            <w:r>
              <w:rPr>
                <w:rFonts w:ascii="Times New Roman" w:hAnsi="Times New Roman" w:eastAsia="宋体" w:cs="Times New Roman"/>
                <w:szCs w:val="21"/>
              </w:rPr>
              <w:t>-0</w:t>
            </w:r>
            <w:r>
              <w:rPr>
                <w:rFonts w:hint="eastAsia" w:ascii="Times New Roman" w:hAnsi="Times New Roman" w:eastAsia="宋体" w:cs="Times New Roman"/>
                <w:szCs w:val="21"/>
              </w:rPr>
              <w:t>1</w:t>
            </w:r>
            <w:r>
              <w:rPr>
                <w:rFonts w:ascii="Times New Roman" w:hAnsi="Times New Roman" w:eastAsia="宋体" w:cs="Times New Roman"/>
                <w:szCs w:val="21"/>
              </w:rPr>
              <w:t>-</w:t>
            </w:r>
            <w:r>
              <w:rPr>
                <w:rFonts w:hint="eastAsia" w:ascii="Times New Roman" w:hAnsi="Times New Roman" w:eastAsia="宋体" w:cs="Times New Roman"/>
                <w:szCs w:val="21"/>
              </w:rPr>
              <w:t>772677</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trPr>
        <w:tc>
          <w:tcPr>
            <w:tcW w:w="2382" w:type="dxa"/>
            <w:tcMar>
              <w:top w:w="16" w:type="dxa"/>
              <w:left w:w="16" w:type="dxa"/>
              <w:right w:w="16" w:type="dxa"/>
            </w:tcMar>
            <w:vAlign w:val="center"/>
          </w:tcPr>
          <w:p>
            <w:pPr>
              <w:adjustRightInd w:val="0"/>
              <w:snapToGrid w:val="0"/>
              <w:jc w:val="center"/>
              <w:rPr>
                <w:rFonts w:ascii="宋体" w:hAnsi="宋体" w:eastAsia="宋体" w:cs="宋体"/>
                <w:szCs w:val="21"/>
              </w:rPr>
            </w:pPr>
            <w:r>
              <w:rPr>
                <w:rFonts w:hint="eastAsia" w:ascii="宋体" w:hAnsi="宋体" w:eastAsia="宋体" w:cs="宋体"/>
                <w:szCs w:val="21"/>
              </w:rPr>
              <w:t>建设单位联系人</w:t>
            </w:r>
          </w:p>
        </w:tc>
        <w:tc>
          <w:tcPr>
            <w:tcW w:w="1637" w:type="dxa"/>
            <w:vAlign w:val="center"/>
          </w:tcPr>
          <w:p>
            <w:pPr>
              <w:adjustRightInd w:val="0"/>
              <w:snapToGrid w:val="0"/>
              <w:jc w:val="center"/>
              <w:rPr>
                <w:rFonts w:ascii="宋体" w:hAnsi="宋体" w:eastAsia="宋体" w:cs="宋体"/>
                <w:sz w:val="18"/>
                <w:szCs w:val="18"/>
              </w:rPr>
            </w:pPr>
            <w:r>
              <w:rPr>
                <w:rFonts w:hint="eastAsia" w:ascii="Times New Roman" w:hAnsi="Times New Roman" w:eastAsia="宋体" w:cs="Times New Roman"/>
                <w:szCs w:val="21"/>
              </w:rPr>
              <w:t>韩志坚</w:t>
            </w:r>
          </w:p>
        </w:tc>
        <w:tc>
          <w:tcPr>
            <w:tcW w:w="2212" w:type="dxa"/>
            <w:vAlign w:val="center"/>
          </w:tcPr>
          <w:p>
            <w:pPr>
              <w:adjustRightInd w:val="0"/>
              <w:snapToGrid w:val="0"/>
              <w:jc w:val="center"/>
              <w:rPr>
                <w:rFonts w:ascii="宋体" w:hAnsi="宋体" w:eastAsia="宋体" w:cs="宋体"/>
                <w:szCs w:val="21"/>
              </w:rPr>
            </w:pPr>
            <w:r>
              <w:rPr>
                <w:rFonts w:hint="eastAsia" w:ascii="宋体" w:hAnsi="宋体" w:eastAsia="宋体" w:cs="宋体"/>
                <w:szCs w:val="21"/>
              </w:rPr>
              <w:t>联系方式</w:t>
            </w:r>
          </w:p>
        </w:tc>
        <w:tc>
          <w:tcPr>
            <w:tcW w:w="2639" w:type="dxa"/>
            <w:vAlign w:val="center"/>
          </w:tcPr>
          <w:p>
            <w:pPr>
              <w:adjustRightInd w:val="0"/>
              <w:snapToGrid w:val="0"/>
              <w:jc w:val="center"/>
              <w:rPr>
                <w:rFonts w:ascii="宋体" w:hAnsi="宋体" w:eastAsia="宋体" w:cs="宋体"/>
                <w:b/>
                <w:bCs/>
                <w:szCs w:val="21"/>
              </w:rPr>
            </w:pPr>
            <w:r>
              <w:rPr>
                <w:rFonts w:hint="eastAsia" w:ascii="Times New Roman" w:hAnsi="Times New Roman" w:eastAsia="宋体" w:cs="Times New Roman"/>
                <w:szCs w:val="21"/>
              </w:rPr>
              <w:t>13785927805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trPr>
        <w:tc>
          <w:tcPr>
            <w:tcW w:w="2382" w:type="dxa"/>
            <w:tcMar>
              <w:top w:w="16" w:type="dxa"/>
              <w:left w:w="16" w:type="dxa"/>
              <w:right w:w="16" w:type="dxa"/>
            </w:tcMar>
            <w:vAlign w:val="center"/>
          </w:tcPr>
          <w:p>
            <w:pPr>
              <w:adjustRightInd w:val="0"/>
              <w:snapToGrid w:val="0"/>
              <w:jc w:val="center"/>
              <w:rPr>
                <w:rFonts w:ascii="宋体" w:hAnsi="宋体" w:eastAsia="宋体" w:cs="宋体"/>
                <w:szCs w:val="21"/>
              </w:rPr>
            </w:pPr>
            <w:r>
              <w:rPr>
                <w:rFonts w:hint="eastAsia" w:ascii="宋体" w:hAnsi="宋体" w:eastAsia="宋体" w:cs="宋体"/>
                <w:szCs w:val="21"/>
              </w:rPr>
              <w:t>建设地点</w:t>
            </w:r>
          </w:p>
        </w:tc>
        <w:tc>
          <w:tcPr>
            <w:tcW w:w="6488" w:type="dxa"/>
            <w:gridSpan w:val="3"/>
            <w:vAlign w:val="center"/>
          </w:tcPr>
          <w:p>
            <w:pPr>
              <w:adjustRightInd w:val="0"/>
              <w:snapToGrid w:val="0"/>
              <w:jc w:val="center"/>
              <w:rPr>
                <w:rFonts w:ascii="宋体" w:hAnsi="宋体" w:eastAsia="宋体" w:cs="宋体"/>
                <w:szCs w:val="21"/>
              </w:rPr>
            </w:pPr>
            <w:r>
              <w:rPr>
                <w:rFonts w:ascii="宋体" w:hAnsi="宋体" w:eastAsia="宋体" w:cs="宋体"/>
                <w:szCs w:val="21"/>
                <w:u w:val="single"/>
              </w:rPr>
              <w:t xml:space="preserve">  河北  </w:t>
            </w:r>
            <w:r>
              <w:rPr>
                <w:rFonts w:hint="eastAsia" w:ascii="宋体" w:hAnsi="宋体" w:eastAsia="宋体" w:cs="宋体"/>
                <w:szCs w:val="21"/>
              </w:rPr>
              <w:t>省（自治区）</w:t>
            </w:r>
            <w:r>
              <w:rPr>
                <w:rFonts w:ascii="宋体" w:hAnsi="宋体" w:eastAsia="宋体" w:cs="宋体"/>
                <w:szCs w:val="21"/>
                <w:u w:val="single"/>
              </w:rPr>
              <w:t xml:space="preserve">  秦皇岛  </w:t>
            </w:r>
            <w:r>
              <w:rPr>
                <w:rFonts w:hint="eastAsia" w:ascii="宋体" w:hAnsi="宋体" w:eastAsia="宋体" w:cs="宋体"/>
                <w:szCs w:val="21"/>
              </w:rPr>
              <w:t>市</w:t>
            </w:r>
            <w:r>
              <w:rPr>
                <w:rFonts w:ascii="宋体" w:hAnsi="宋体" w:eastAsia="宋体" w:cs="宋体"/>
                <w:szCs w:val="21"/>
                <w:u w:val="single"/>
              </w:rPr>
              <w:t xml:space="preserve">  </w:t>
            </w:r>
            <w:r>
              <w:rPr>
                <w:rFonts w:hint="eastAsia" w:ascii="宋体" w:hAnsi="宋体" w:eastAsia="宋体" w:cs="宋体"/>
                <w:szCs w:val="21"/>
                <w:u w:val="single"/>
              </w:rPr>
              <w:t>抚宁</w:t>
            </w:r>
            <w:r>
              <w:rPr>
                <w:rFonts w:ascii="宋体" w:hAnsi="宋体" w:eastAsia="宋体" w:cs="宋体"/>
                <w:szCs w:val="21"/>
                <w:u w:val="single"/>
              </w:rPr>
              <w:t xml:space="preserve"> </w:t>
            </w:r>
            <w:r>
              <w:rPr>
                <w:rFonts w:hint="eastAsia" w:ascii="宋体" w:hAnsi="宋体" w:eastAsia="宋体" w:cs="宋体"/>
                <w:szCs w:val="21"/>
              </w:rPr>
              <w:t>县（区）</w:t>
            </w:r>
            <w:r>
              <w:rPr>
                <w:rFonts w:ascii="宋体" w:hAnsi="宋体" w:eastAsia="宋体" w:cs="宋体"/>
                <w:szCs w:val="21"/>
                <w:u w:val="single"/>
              </w:rPr>
              <w:t>留守营镇</w:t>
            </w:r>
            <w:r>
              <w:rPr>
                <w:rFonts w:hint="eastAsia" w:ascii="宋体" w:hAnsi="宋体" w:eastAsia="宋体" w:cs="宋体"/>
                <w:szCs w:val="21"/>
              </w:rPr>
              <w:t>乡（街道）</w:t>
            </w:r>
            <w:r>
              <w:rPr>
                <w:rFonts w:ascii="宋体" w:hAnsi="宋体" w:eastAsia="宋体" w:cs="宋体"/>
                <w:szCs w:val="21"/>
                <w:u w:val="single"/>
              </w:rPr>
              <w:t xml:space="preserve"> </w:t>
            </w:r>
            <w:r>
              <w:rPr>
                <w:rFonts w:hint="eastAsia" w:ascii="宋体" w:hAnsi="宋体" w:eastAsia="宋体" w:cs="宋体"/>
                <w:szCs w:val="21"/>
                <w:u w:val="single"/>
              </w:rPr>
              <w:t>毛家营村</w:t>
            </w:r>
            <w:r>
              <w:rPr>
                <w:rFonts w:ascii="宋体" w:hAnsi="宋体" w:eastAsia="宋体" w:cs="宋体"/>
                <w:szCs w:val="21"/>
                <w:u w:val="single"/>
              </w:rPr>
              <w:t xml:space="preserve">  </w:t>
            </w:r>
            <w:r>
              <w:rPr>
                <w:rFonts w:hint="eastAsia" w:ascii="宋体" w:hAnsi="宋体" w:eastAsia="宋体" w:cs="宋体"/>
                <w:szCs w:val="21"/>
              </w:rPr>
              <w:t>（具体地址）</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trPr>
        <w:tc>
          <w:tcPr>
            <w:tcW w:w="2382" w:type="dxa"/>
            <w:tcMar>
              <w:top w:w="16" w:type="dxa"/>
              <w:left w:w="16" w:type="dxa"/>
              <w:right w:w="16" w:type="dxa"/>
            </w:tcMar>
            <w:vAlign w:val="center"/>
          </w:tcPr>
          <w:p>
            <w:pPr>
              <w:adjustRightInd w:val="0"/>
              <w:snapToGrid w:val="0"/>
              <w:jc w:val="center"/>
              <w:rPr>
                <w:rFonts w:ascii="宋体" w:hAnsi="宋体" w:eastAsia="宋体" w:cs="宋体"/>
                <w:szCs w:val="21"/>
              </w:rPr>
            </w:pPr>
            <w:r>
              <w:rPr>
                <w:rFonts w:hint="eastAsia" w:ascii="宋体" w:hAnsi="宋体" w:eastAsia="宋体" w:cs="宋体"/>
                <w:szCs w:val="21"/>
              </w:rPr>
              <w:t>地理坐标</w:t>
            </w:r>
          </w:p>
        </w:tc>
        <w:tc>
          <w:tcPr>
            <w:tcW w:w="6488" w:type="dxa"/>
            <w:gridSpan w:val="3"/>
            <w:vAlign w:val="center"/>
          </w:tcPr>
          <w:p>
            <w:pPr>
              <w:jc w:val="center"/>
              <w:rPr>
                <w:rFonts w:ascii="Times New Roman" w:hAnsi="Times New Roman" w:eastAsia="宋体" w:cs="Times New Roman"/>
                <w:szCs w:val="21"/>
              </w:rPr>
            </w:pPr>
            <w:r>
              <w:rPr>
                <w:rFonts w:ascii="Times New Roman" w:hAnsi="宋体" w:eastAsia="宋体" w:cs="Times New Roman"/>
                <w:szCs w:val="21"/>
              </w:rPr>
              <w:t>（</w:t>
            </w:r>
            <w:r>
              <w:rPr>
                <w:rFonts w:ascii="Times New Roman" w:hAnsi="Times New Roman" w:eastAsia="宋体" w:cs="Times New Roman"/>
                <w:szCs w:val="21"/>
                <w:u w:val="single"/>
              </w:rPr>
              <w:t xml:space="preserve"> 11</w:t>
            </w:r>
            <w:r>
              <w:rPr>
                <w:rFonts w:hint="eastAsia" w:ascii="Times New Roman" w:hAnsi="Times New Roman" w:eastAsia="宋体" w:cs="Times New Roman"/>
                <w:szCs w:val="21"/>
                <w:u w:val="single"/>
              </w:rPr>
              <w:t>9</w:t>
            </w:r>
            <w:r>
              <w:rPr>
                <w:rFonts w:ascii="Times New Roman" w:hAnsi="Times New Roman" w:eastAsia="宋体" w:cs="Times New Roman"/>
                <w:szCs w:val="21"/>
                <w:u w:val="single"/>
              </w:rPr>
              <w:t xml:space="preserve"> </w:t>
            </w:r>
            <w:r>
              <w:rPr>
                <w:rFonts w:ascii="Times New Roman" w:hAnsi="宋体" w:eastAsia="宋体" w:cs="Times New Roman"/>
                <w:szCs w:val="21"/>
              </w:rPr>
              <w:t>度</w:t>
            </w:r>
            <w:r>
              <w:rPr>
                <w:rFonts w:ascii="Times New Roman" w:hAnsi="Times New Roman" w:eastAsia="宋体" w:cs="Times New Roman"/>
                <w:szCs w:val="21"/>
                <w:u w:val="single"/>
              </w:rPr>
              <w:t xml:space="preserve"> </w:t>
            </w:r>
            <w:r>
              <w:rPr>
                <w:rFonts w:hint="eastAsia" w:ascii="Times New Roman" w:hAnsi="Times New Roman" w:eastAsia="宋体" w:cs="Times New Roman"/>
                <w:szCs w:val="21"/>
                <w:u w:val="single"/>
              </w:rPr>
              <w:t>19</w:t>
            </w:r>
            <w:r>
              <w:rPr>
                <w:rFonts w:ascii="Times New Roman" w:hAnsi="Times New Roman" w:eastAsia="宋体" w:cs="Times New Roman"/>
                <w:szCs w:val="21"/>
                <w:u w:val="single"/>
              </w:rPr>
              <w:t xml:space="preserve"> </w:t>
            </w:r>
            <w:r>
              <w:rPr>
                <w:rFonts w:ascii="Times New Roman" w:hAnsi="宋体" w:eastAsia="宋体" w:cs="Times New Roman"/>
                <w:szCs w:val="21"/>
              </w:rPr>
              <w:t>分</w:t>
            </w:r>
            <w:r>
              <w:rPr>
                <w:rFonts w:ascii="Times New Roman" w:hAnsi="Times New Roman" w:eastAsia="宋体" w:cs="Times New Roman"/>
                <w:szCs w:val="21"/>
                <w:u w:val="single"/>
              </w:rPr>
              <w:t xml:space="preserve">  </w:t>
            </w:r>
            <w:r>
              <w:rPr>
                <w:rFonts w:hint="eastAsia" w:ascii="Times New Roman" w:hAnsi="Times New Roman" w:eastAsia="宋体" w:cs="Times New Roman"/>
                <w:szCs w:val="21"/>
                <w:u w:val="single"/>
              </w:rPr>
              <w:t>8.358</w:t>
            </w:r>
            <w:r>
              <w:rPr>
                <w:rFonts w:ascii="Times New Roman" w:hAnsi="Times New Roman" w:eastAsia="宋体" w:cs="Times New Roman"/>
                <w:szCs w:val="21"/>
                <w:u w:val="single"/>
              </w:rPr>
              <w:t xml:space="preserve"> </w:t>
            </w:r>
            <w:r>
              <w:rPr>
                <w:rFonts w:ascii="Times New Roman" w:hAnsi="宋体" w:eastAsia="宋体" w:cs="Times New Roman"/>
                <w:szCs w:val="21"/>
              </w:rPr>
              <w:t>秒，</w:t>
            </w:r>
            <w:r>
              <w:rPr>
                <w:rFonts w:ascii="Times New Roman" w:hAnsi="Times New Roman" w:eastAsia="宋体" w:cs="Times New Roman"/>
                <w:szCs w:val="21"/>
                <w:u w:val="single"/>
              </w:rPr>
              <w:t xml:space="preserve"> 39 </w:t>
            </w:r>
            <w:r>
              <w:rPr>
                <w:rFonts w:ascii="Times New Roman" w:hAnsi="宋体" w:eastAsia="宋体" w:cs="Times New Roman"/>
                <w:szCs w:val="21"/>
              </w:rPr>
              <w:t>度</w:t>
            </w:r>
            <w:r>
              <w:rPr>
                <w:rFonts w:ascii="Times New Roman" w:hAnsi="Times New Roman" w:eastAsia="宋体" w:cs="Times New Roman"/>
                <w:szCs w:val="21"/>
                <w:u w:val="single"/>
              </w:rPr>
              <w:t xml:space="preserve"> </w:t>
            </w:r>
            <w:r>
              <w:rPr>
                <w:rFonts w:hint="eastAsia" w:ascii="Times New Roman" w:hAnsi="Times New Roman" w:eastAsia="宋体" w:cs="Times New Roman"/>
                <w:szCs w:val="21"/>
                <w:u w:val="single"/>
              </w:rPr>
              <w:t>47</w:t>
            </w:r>
            <w:r>
              <w:rPr>
                <w:rFonts w:ascii="Times New Roman" w:hAnsi="宋体" w:eastAsia="宋体" w:cs="Times New Roman"/>
                <w:szCs w:val="21"/>
              </w:rPr>
              <w:t>分</w:t>
            </w:r>
            <w:r>
              <w:rPr>
                <w:rFonts w:ascii="Times New Roman" w:hAnsi="Times New Roman" w:eastAsia="宋体" w:cs="Times New Roman"/>
                <w:szCs w:val="21"/>
                <w:u w:val="single"/>
              </w:rPr>
              <w:t xml:space="preserve"> </w:t>
            </w:r>
            <w:r>
              <w:rPr>
                <w:rFonts w:hint="eastAsia" w:ascii="Times New Roman" w:hAnsi="Times New Roman" w:eastAsia="宋体" w:cs="Times New Roman"/>
                <w:szCs w:val="21"/>
                <w:u w:val="single"/>
              </w:rPr>
              <w:t>47.648</w:t>
            </w:r>
            <w:r>
              <w:rPr>
                <w:rFonts w:ascii="Times New Roman" w:hAnsi="Times New Roman" w:eastAsia="宋体" w:cs="Times New Roman"/>
                <w:szCs w:val="21"/>
                <w:u w:val="single"/>
              </w:rPr>
              <w:t xml:space="preserve"> </w:t>
            </w:r>
            <w:r>
              <w:rPr>
                <w:rFonts w:ascii="Times New Roman" w:hAnsi="宋体" w:eastAsia="宋体" w:cs="Times New Roman"/>
                <w:szCs w:val="21"/>
              </w:rPr>
              <w:t>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trPr>
        <w:tc>
          <w:tcPr>
            <w:tcW w:w="2382" w:type="dxa"/>
            <w:tcMar>
              <w:top w:w="16" w:type="dxa"/>
              <w:left w:w="16" w:type="dxa"/>
              <w:right w:w="16" w:type="dxa"/>
            </w:tcMar>
            <w:vAlign w:val="center"/>
          </w:tcPr>
          <w:p>
            <w:pPr>
              <w:adjustRightInd w:val="0"/>
              <w:snapToGrid w:val="0"/>
              <w:jc w:val="center"/>
              <w:rPr>
                <w:rFonts w:ascii="宋体" w:hAnsi="宋体" w:eastAsia="宋体" w:cs="宋体"/>
                <w:szCs w:val="21"/>
              </w:rPr>
            </w:pPr>
            <w:r>
              <w:rPr>
                <w:rFonts w:hint="eastAsia" w:ascii="宋体" w:hAnsi="宋体" w:eastAsia="宋体" w:cs="宋体"/>
                <w:szCs w:val="21"/>
              </w:rPr>
              <w:t>国民经济</w:t>
            </w:r>
          </w:p>
          <w:p>
            <w:pPr>
              <w:adjustRightInd w:val="0"/>
              <w:snapToGrid w:val="0"/>
              <w:jc w:val="center"/>
              <w:rPr>
                <w:rFonts w:ascii="宋体" w:hAnsi="宋体" w:eastAsia="宋体" w:cs="宋体"/>
                <w:szCs w:val="21"/>
              </w:rPr>
            </w:pPr>
            <w:r>
              <w:rPr>
                <w:rFonts w:hint="eastAsia" w:ascii="宋体" w:hAnsi="宋体" w:eastAsia="宋体" w:cs="宋体"/>
                <w:szCs w:val="21"/>
              </w:rPr>
              <w:t>行业类别</w:t>
            </w:r>
          </w:p>
        </w:tc>
        <w:tc>
          <w:tcPr>
            <w:tcW w:w="1637" w:type="dxa"/>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C42</w:t>
            </w:r>
            <w:r>
              <w:rPr>
                <w:rFonts w:hint="eastAsia" w:ascii="Times New Roman" w:hAnsi="Times New Roman" w:eastAsia="宋体" w:cs="Times New Roman"/>
                <w:szCs w:val="21"/>
              </w:rPr>
              <w:t>20</w:t>
            </w:r>
            <w:r>
              <w:rPr>
                <w:rFonts w:ascii="Times New Roman" w:hAnsi="Times New Roman" w:eastAsia="宋体" w:cs="Times New Roman"/>
                <w:szCs w:val="21"/>
              </w:rPr>
              <w:t>-</w:t>
            </w:r>
            <w:r>
              <w:rPr>
                <w:rFonts w:ascii="Times New Roman" w:hAnsi="宋体" w:eastAsia="宋体" w:cs="Times New Roman"/>
                <w:szCs w:val="21"/>
              </w:rPr>
              <w:t>非金属废料和碎屑加工处理</w:t>
            </w:r>
            <w:r>
              <w:rPr>
                <w:rFonts w:ascii="Times New Roman" w:hAnsi="Times New Roman" w:eastAsia="宋体" w:cs="Times New Roman"/>
                <w:szCs w:val="21"/>
              </w:rPr>
              <w:t xml:space="preserve"> </w:t>
            </w:r>
          </w:p>
        </w:tc>
        <w:tc>
          <w:tcPr>
            <w:tcW w:w="2212" w:type="dxa"/>
            <w:vAlign w:val="center"/>
          </w:tcPr>
          <w:p>
            <w:pPr>
              <w:adjustRightInd w:val="0"/>
              <w:snapToGrid w:val="0"/>
              <w:jc w:val="center"/>
              <w:rPr>
                <w:rFonts w:ascii="宋体" w:hAnsi="宋体" w:eastAsia="宋体" w:cs="宋体"/>
                <w:szCs w:val="21"/>
              </w:rPr>
            </w:pPr>
            <w:bookmarkStart w:id="1" w:name="_Hlk49843745"/>
            <w:r>
              <w:rPr>
                <w:rFonts w:hint="eastAsia" w:ascii="宋体" w:hAnsi="宋体" w:eastAsia="宋体" w:cs="宋体"/>
                <w:szCs w:val="21"/>
              </w:rPr>
              <w:t>建设项目</w:t>
            </w:r>
          </w:p>
          <w:p>
            <w:pPr>
              <w:adjustRightInd w:val="0"/>
              <w:snapToGrid w:val="0"/>
              <w:jc w:val="center"/>
              <w:rPr>
                <w:rFonts w:ascii="宋体" w:hAnsi="宋体" w:eastAsia="宋体" w:cs="宋体"/>
                <w:szCs w:val="21"/>
              </w:rPr>
            </w:pPr>
            <w:r>
              <w:rPr>
                <w:rFonts w:hint="eastAsia" w:ascii="宋体" w:hAnsi="宋体" w:eastAsia="宋体" w:cs="宋体"/>
                <w:szCs w:val="21"/>
              </w:rPr>
              <w:t>行业类别</w:t>
            </w:r>
            <w:bookmarkEnd w:id="1"/>
          </w:p>
        </w:tc>
        <w:tc>
          <w:tcPr>
            <w:tcW w:w="2639" w:type="dxa"/>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4"/>
              </w:rPr>
              <w:t>三十九、废弃资源综合利用业</w:t>
            </w:r>
            <w:r>
              <w:rPr>
                <w:rFonts w:ascii="Times New Roman" w:hAnsi="Times New Roman" w:eastAsia="宋体" w:cs="Times New Roman"/>
                <w:szCs w:val="24"/>
              </w:rPr>
              <w:t>—</w:t>
            </w:r>
            <w:r>
              <w:rPr>
                <w:rFonts w:hint="eastAsia" w:ascii="Times New Roman" w:hAnsi="Times New Roman" w:eastAsia="宋体" w:cs="Times New Roman"/>
                <w:szCs w:val="21"/>
              </w:rPr>
              <w:t>85-非金属废料和碎屑加工处理</w:t>
            </w:r>
            <w:r>
              <w:rPr>
                <w:rFonts w:ascii="Times New Roman" w:hAnsi="Times New Roman" w:eastAsia="宋体" w:cs="Times New Roman"/>
                <w:szCs w:val="21"/>
              </w:rPr>
              <w:t xml:space="preserv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trPr>
        <w:tc>
          <w:tcPr>
            <w:tcW w:w="2382" w:type="dxa"/>
            <w:tcMar>
              <w:top w:w="16" w:type="dxa"/>
              <w:left w:w="16" w:type="dxa"/>
              <w:right w:w="16" w:type="dxa"/>
            </w:tcMar>
            <w:vAlign w:val="center"/>
          </w:tcPr>
          <w:p>
            <w:pPr>
              <w:adjustRightInd w:val="0"/>
              <w:snapToGrid w:val="0"/>
              <w:jc w:val="center"/>
              <w:rPr>
                <w:rFonts w:ascii="宋体" w:hAnsi="宋体" w:eastAsia="宋体" w:cs="宋体"/>
                <w:szCs w:val="21"/>
              </w:rPr>
            </w:pPr>
            <w:r>
              <w:rPr>
                <w:rFonts w:hint="eastAsia" w:ascii="宋体" w:hAnsi="宋体" w:eastAsia="宋体" w:cs="宋体"/>
                <w:szCs w:val="21"/>
              </w:rPr>
              <w:t>建设性质</w:t>
            </w:r>
          </w:p>
        </w:tc>
        <w:tc>
          <w:tcPr>
            <w:tcW w:w="1637" w:type="dxa"/>
            <w:vAlign w:val="center"/>
          </w:tcPr>
          <w:p>
            <w:pPr>
              <w:jc w:val="left"/>
              <w:rPr>
                <w:rFonts w:ascii="宋体" w:hAnsi="宋体" w:eastAsia="宋体" w:cs="宋体"/>
                <w:szCs w:val="21"/>
              </w:rPr>
            </w:pPr>
            <w:r>
              <w:rPr>
                <w:rFonts w:hint="eastAsia" w:ascii="宋体" w:hAnsi="宋体" w:eastAsia="宋体" w:cs="宋体"/>
                <w:szCs w:val="21"/>
              </w:rPr>
              <w:sym w:font="Wingdings 2" w:char="F052"/>
            </w:r>
            <w:r>
              <w:rPr>
                <w:rFonts w:hint="eastAsia" w:ascii="宋体" w:hAnsi="宋体" w:eastAsia="宋体" w:cs="宋体"/>
                <w:szCs w:val="21"/>
              </w:rPr>
              <w:t>新建（迁建）</w:t>
            </w:r>
          </w:p>
          <w:p>
            <w:pPr>
              <w:jc w:val="left"/>
              <w:rPr>
                <w:rFonts w:ascii="宋体" w:hAnsi="宋体" w:eastAsia="宋体" w:cs="宋体"/>
                <w:szCs w:val="21"/>
              </w:rPr>
            </w:pPr>
            <w:r>
              <w:rPr>
                <w:rFonts w:hint="eastAsia" w:ascii="宋体" w:hAnsi="宋体" w:eastAsia="宋体" w:cs="宋体"/>
                <w:szCs w:val="21"/>
              </w:rPr>
              <w:t>□改建</w:t>
            </w:r>
          </w:p>
          <w:p>
            <w:pPr>
              <w:jc w:val="left"/>
              <w:rPr>
                <w:rFonts w:ascii="宋体" w:hAnsi="宋体" w:eastAsia="宋体" w:cs="宋体"/>
                <w:szCs w:val="21"/>
              </w:rPr>
            </w:pPr>
            <w:r>
              <w:rPr>
                <w:rFonts w:hint="eastAsia" w:ascii="宋体" w:hAnsi="宋体" w:eastAsia="宋体" w:cs="宋体"/>
                <w:szCs w:val="21"/>
              </w:rPr>
              <w:t>□扩建</w:t>
            </w:r>
          </w:p>
          <w:p>
            <w:pPr>
              <w:jc w:val="left"/>
              <w:rPr>
                <w:rFonts w:ascii="宋体" w:hAnsi="宋体" w:eastAsia="宋体" w:cs="宋体"/>
                <w:szCs w:val="21"/>
              </w:rPr>
            </w:pPr>
            <w:r>
              <w:rPr>
                <w:rFonts w:hint="eastAsia" w:ascii="宋体" w:hAnsi="宋体" w:eastAsia="宋体" w:cs="宋体"/>
                <w:szCs w:val="21"/>
              </w:rPr>
              <w:t>□技术改造</w:t>
            </w:r>
          </w:p>
        </w:tc>
        <w:tc>
          <w:tcPr>
            <w:tcW w:w="2212" w:type="dxa"/>
            <w:vAlign w:val="center"/>
          </w:tcPr>
          <w:p>
            <w:pPr>
              <w:adjustRightInd w:val="0"/>
              <w:snapToGrid w:val="0"/>
              <w:jc w:val="center"/>
              <w:rPr>
                <w:rFonts w:ascii="宋体" w:hAnsi="宋体" w:eastAsia="宋体" w:cs="宋体"/>
                <w:szCs w:val="21"/>
              </w:rPr>
            </w:pPr>
            <w:r>
              <w:rPr>
                <w:rFonts w:hint="eastAsia" w:ascii="宋体" w:hAnsi="宋体" w:eastAsia="宋体" w:cs="宋体"/>
                <w:szCs w:val="21"/>
              </w:rPr>
              <w:t>建设项目</w:t>
            </w:r>
          </w:p>
          <w:p>
            <w:pPr>
              <w:adjustRightInd w:val="0"/>
              <w:snapToGrid w:val="0"/>
              <w:jc w:val="center"/>
              <w:rPr>
                <w:rFonts w:ascii="宋体" w:hAnsi="宋体" w:eastAsia="宋体" w:cs="宋体"/>
                <w:szCs w:val="21"/>
              </w:rPr>
            </w:pPr>
            <w:r>
              <w:rPr>
                <w:rFonts w:hint="eastAsia" w:ascii="宋体" w:hAnsi="宋体" w:eastAsia="宋体" w:cs="宋体"/>
                <w:szCs w:val="21"/>
              </w:rPr>
              <w:t>申报情形</w:t>
            </w:r>
          </w:p>
        </w:tc>
        <w:tc>
          <w:tcPr>
            <w:tcW w:w="2639" w:type="dxa"/>
            <w:vAlign w:val="center"/>
          </w:tcPr>
          <w:p>
            <w:pPr>
              <w:jc w:val="left"/>
              <w:rPr>
                <w:rFonts w:ascii="宋体" w:hAnsi="宋体" w:eastAsia="宋体" w:cs="宋体"/>
                <w:szCs w:val="21"/>
              </w:rPr>
            </w:pPr>
            <w:r>
              <w:rPr>
                <w:rFonts w:hint="eastAsia" w:ascii="宋体" w:hAnsi="宋体" w:eastAsia="宋体" w:cs="宋体"/>
                <w:szCs w:val="21"/>
              </w:rPr>
              <w:sym w:font="Wingdings 2" w:char="F052"/>
            </w:r>
            <w:r>
              <w:rPr>
                <w:rFonts w:hint="eastAsia" w:ascii="宋体" w:hAnsi="宋体" w:eastAsia="宋体" w:cs="宋体"/>
                <w:szCs w:val="21"/>
              </w:rPr>
              <w:t>首次申报项目</w:t>
            </w:r>
            <w:r>
              <w:rPr>
                <w:rFonts w:ascii="宋体" w:hAnsi="宋体" w:eastAsia="宋体" w:cs="宋体"/>
                <w:szCs w:val="21"/>
              </w:rPr>
              <w:t xml:space="preserve">             </w:t>
            </w:r>
          </w:p>
          <w:p>
            <w:pPr>
              <w:jc w:val="left"/>
              <w:rPr>
                <w:rFonts w:ascii="宋体" w:hAnsi="宋体" w:eastAsia="宋体" w:cs="宋体"/>
                <w:szCs w:val="21"/>
              </w:rPr>
            </w:pPr>
            <w:r>
              <w:rPr>
                <w:rFonts w:hint="eastAsia" w:ascii="宋体" w:hAnsi="宋体" w:eastAsia="宋体" w:cs="宋体"/>
                <w:szCs w:val="21"/>
              </w:rPr>
              <w:t>□不予批准后再次申报项目</w:t>
            </w:r>
          </w:p>
          <w:p>
            <w:pPr>
              <w:jc w:val="left"/>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超五年重新审核项目</w:t>
            </w:r>
            <w:r>
              <w:rPr>
                <w:rFonts w:ascii="宋体" w:hAnsi="宋体" w:eastAsia="宋体" w:cs="宋体"/>
                <w:szCs w:val="21"/>
              </w:rPr>
              <w:t xml:space="preserve">     </w:t>
            </w:r>
          </w:p>
          <w:p>
            <w:pPr>
              <w:jc w:val="left"/>
              <w:rPr>
                <w:rFonts w:ascii="宋体" w:hAnsi="宋体" w:eastAsia="宋体" w:cs="宋体"/>
                <w:szCs w:val="21"/>
              </w:rPr>
            </w:pPr>
            <w:r>
              <w:rPr>
                <w:rFonts w:hint="eastAsia" w:ascii="宋体" w:hAnsi="宋体" w:eastAsia="宋体" w:cs="宋体"/>
                <w:szCs w:val="21"/>
              </w:rPr>
              <w:t>□重大变动重新报批项目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trPr>
        <w:tc>
          <w:tcPr>
            <w:tcW w:w="2382" w:type="dxa"/>
            <w:tcMar>
              <w:top w:w="16" w:type="dxa"/>
              <w:left w:w="16" w:type="dxa"/>
              <w:right w:w="16" w:type="dxa"/>
            </w:tcMar>
            <w:vAlign w:val="center"/>
          </w:tcPr>
          <w:p>
            <w:pPr>
              <w:adjustRightInd w:val="0"/>
              <w:snapToGrid w:val="0"/>
              <w:jc w:val="center"/>
              <w:rPr>
                <w:rFonts w:ascii="宋体" w:hAnsi="宋体" w:eastAsia="宋体" w:cs="宋体"/>
                <w:szCs w:val="21"/>
              </w:rPr>
            </w:pPr>
            <w:r>
              <w:rPr>
                <w:rFonts w:hint="eastAsia" w:ascii="宋体" w:hAnsi="宋体" w:eastAsia="宋体" w:cs="宋体"/>
                <w:szCs w:val="21"/>
              </w:rPr>
              <w:t>项目审批（核准</w:t>
            </w:r>
            <w:r>
              <w:rPr>
                <w:rFonts w:ascii="宋体" w:hAnsi="宋体" w:eastAsia="宋体" w:cs="宋体"/>
                <w:szCs w:val="21"/>
              </w:rPr>
              <w:t>/</w:t>
            </w:r>
          </w:p>
          <w:p>
            <w:pPr>
              <w:adjustRightInd w:val="0"/>
              <w:snapToGrid w:val="0"/>
              <w:jc w:val="center"/>
              <w:rPr>
                <w:rFonts w:ascii="宋体" w:hAnsi="宋体" w:eastAsia="宋体" w:cs="宋体"/>
                <w:szCs w:val="21"/>
              </w:rPr>
            </w:pPr>
            <w:r>
              <w:rPr>
                <w:rFonts w:hint="eastAsia" w:ascii="宋体" w:hAnsi="宋体" w:eastAsia="宋体" w:cs="宋体"/>
                <w:szCs w:val="21"/>
              </w:rPr>
              <w:t>备案）部门（选填）</w:t>
            </w:r>
          </w:p>
        </w:tc>
        <w:tc>
          <w:tcPr>
            <w:tcW w:w="1637" w:type="dxa"/>
            <w:vAlign w:val="center"/>
          </w:tcPr>
          <w:p>
            <w:pPr>
              <w:adjustRightInd w:val="0"/>
              <w:snapToGrid w:val="0"/>
              <w:jc w:val="center"/>
              <w:rPr>
                <w:rFonts w:ascii="宋体" w:hAnsi="宋体" w:eastAsia="宋体" w:cs="宋体"/>
                <w:szCs w:val="21"/>
              </w:rPr>
            </w:pPr>
            <w:r>
              <w:rPr>
                <w:rFonts w:hint="eastAsia" w:ascii="宋体" w:hAnsi="宋体" w:eastAsia="宋体" w:cs="宋体"/>
                <w:szCs w:val="21"/>
              </w:rPr>
              <w:t>抚宁区</w:t>
            </w:r>
            <w:r>
              <w:rPr>
                <w:rFonts w:ascii="宋体" w:hAnsi="宋体" w:eastAsia="宋体" w:cs="宋体"/>
                <w:szCs w:val="21"/>
              </w:rPr>
              <w:t>行政审批局</w:t>
            </w:r>
          </w:p>
        </w:tc>
        <w:tc>
          <w:tcPr>
            <w:tcW w:w="2212" w:type="dxa"/>
            <w:vAlign w:val="center"/>
          </w:tcPr>
          <w:p>
            <w:pPr>
              <w:adjustRightInd w:val="0"/>
              <w:snapToGrid w:val="0"/>
              <w:jc w:val="center"/>
              <w:rPr>
                <w:rFonts w:ascii="宋体" w:hAnsi="宋体" w:eastAsia="宋体" w:cs="宋体"/>
                <w:szCs w:val="21"/>
              </w:rPr>
            </w:pPr>
            <w:r>
              <w:rPr>
                <w:rFonts w:hint="eastAsia" w:ascii="宋体" w:hAnsi="宋体" w:eastAsia="宋体" w:cs="宋体"/>
                <w:szCs w:val="21"/>
              </w:rPr>
              <w:t>项目审批（核准</w:t>
            </w:r>
            <w:r>
              <w:rPr>
                <w:rFonts w:ascii="宋体" w:hAnsi="宋体" w:eastAsia="宋体" w:cs="宋体"/>
                <w:szCs w:val="21"/>
              </w:rPr>
              <w:t>/</w:t>
            </w:r>
          </w:p>
          <w:p>
            <w:pPr>
              <w:adjustRightInd w:val="0"/>
              <w:snapToGrid w:val="0"/>
              <w:jc w:val="center"/>
              <w:rPr>
                <w:rFonts w:ascii="宋体" w:hAnsi="宋体" w:eastAsia="宋体" w:cs="宋体"/>
                <w:szCs w:val="21"/>
              </w:rPr>
            </w:pPr>
            <w:r>
              <w:rPr>
                <w:rFonts w:hint="eastAsia" w:ascii="宋体" w:hAnsi="宋体" w:eastAsia="宋体" w:cs="宋体"/>
                <w:szCs w:val="21"/>
              </w:rPr>
              <w:t>备案）文号（选填）</w:t>
            </w:r>
          </w:p>
        </w:tc>
        <w:tc>
          <w:tcPr>
            <w:tcW w:w="2639" w:type="dxa"/>
            <w:vAlign w:val="center"/>
          </w:tcPr>
          <w:p>
            <w:pPr>
              <w:adjustRightInd w:val="0"/>
              <w:snapToGrid w:val="0"/>
              <w:jc w:val="center"/>
              <w:rPr>
                <w:rFonts w:ascii="宋体" w:hAnsi="宋体" w:eastAsia="宋体" w:cs="宋体"/>
                <w:szCs w:val="21"/>
              </w:rPr>
            </w:pPr>
            <w:r>
              <w:rPr>
                <w:rFonts w:hint="eastAsia" w:ascii="宋体" w:hAnsi="宋体" w:eastAsia="宋体" w:cs="宋体"/>
                <w:szCs w:val="21"/>
              </w:rPr>
              <w:t>抚行审备〔2022〕80号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trPr>
        <w:tc>
          <w:tcPr>
            <w:tcW w:w="2382" w:type="dxa"/>
            <w:tcMar>
              <w:top w:w="16" w:type="dxa"/>
              <w:left w:w="16" w:type="dxa"/>
              <w:right w:w="16" w:type="dxa"/>
            </w:tcMar>
            <w:vAlign w:val="center"/>
          </w:tcPr>
          <w:p>
            <w:pPr>
              <w:adjustRightInd w:val="0"/>
              <w:snapToGrid w:val="0"/>
              <w:jc w:val="center"/>
              <w:rPr>
                <w:rFonts w:ascii="宋体" w:hAnsi="宋体" w:eastAsia="宋体" w:cs="宋体"/>
                <w:szCs w:val="21"/>
              </w:rPr>
            </w:pPr>
            <w:r>
              <w:rPr>
                <w:rFonts w:hint="eastAsia" w:ascii="宋体" w:hAnsi="宋体" w:eastAsia="宋体" w:cs="宋体"/>
                <w:szCs w:val="21"/>
              </w:rPr>
              <w:t>总投资（万元）</w:t>
            </w:r>
          </w:p>
        </w:tc>
        <w:tc>
          <w:tcPr>
            <w:tcW w:w="1637" w:type="dxa"/>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400</w:t>
            </w:r>
          </w:p>
        </w:tc>
        <w:tc>
          <w:tcPr>
            <w:tcW w:w="2212" w:type="dxa"/>
            <w:tcMar>
              <w:top w:w="16" w:type="dxa"/>
              <w:left w:w="16" w:type="dxa"/>
              <w:right w:w="16" w:type="dxa"/>
            </w:tcMar>
            <w:vAlign w:val="center"/>
          </w:tcPr>
          <w:p>
            <w:pPr>
              <w:adjustRightInd w:val="0"/>
              <w:snapToGrid w:val="0"/>
              <w:jc w:val="center"/>
              <w:rPr>
                <w:rFonts w:ascii="宋体" w:hAnsi="宋体" w:eastAsia="宋体" w:cs="宋体"/>
                <w:szCs w:val="21"/>
              </w:rPr>
            </w:pPr>
            <w:r>
              <w:rPr>
                <w:rFonts w:hint="eastAsia" w:ascii="宋体" w:hAnsi="宋体" w:eastAsia="宋体" w:cs="宋体"/>
                <w:szCs w:val="21"/>
              </w:rPr>
              <w:t>环保投资（万元）</w:t>
            </w:r>
          </w:p>
        </w:tc>
        <w:tc>
          <w:tcPr>
            <w:tcW w:w="2639" w:type="dxa"/>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30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trPr>
        <w:tc>
          <w:tcPr>
            <w:tcW w:w="2382" w:type="dxa"/>
            <w:tcMar>
              <w:top w:w="16" w:type="dxa"/>
              <w:left w:w="16" w:type="dxa"/>
              <w:right w:w="16" w:type="dxa"/>
            </w:tcMar>
            <w:vAlign w:val="center"/>
          </w:tcPr>
          <w:p>
            <w:pPr>
              <w:adjustRightInd w:val="0"/>
              <w:snapToGrid w:val="0"/>
              <w:jc w:val="center"/>
              <w:rPr>
                <w:rFonts w:ascii="宋体" w:hAnsi="宋体" w:eastAsia="宋体" w:cs="宋体"/>
                <w:szCs w:val="21"/>
              </w:rPr>
            </w:pPr>
            <w:r>
              <w:rPr>
                <w:rFonts w:hint="eastAsia" w:ascii="宋体" w:hAnsi="宋体" w:eastAsia="宋体" w:cs="宋体"/>
                <w:szCs w:val="21"/>
              </w:rPr>
              <w:t>环保投资占比（</w:t>
            </w:r>
            <w:r>
              <w:rPr>
                <w:rFonts w:ascii="宋体" w:hAnsi="宋体" w:eastAsia="宋体" w:cs="宋体"/>
                <w:szCs w:val="21"/>
              </w:rPr>
              <w:t>%</w:t>
            </w:r>
            <w:r>
              <w:rPr>
                <w:rFonts w:hint="eastAsia" w:ascii="宋体" w:hAnsi="宋体" w:eastAsia="宋体" w:cs="宋体"/>
                <w:szCs w:val="21"/>
              </w:rPr>
              <w:t>）</w:t>
            </w:r>
          </w:p>
        </w:tc>
        <w:tc>
          <w:tcPr>
            <w:tcW w:w="1637" w:type="dxa"/>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7.5</w:t>
            </w:r>
          </w:p>
        </w:tc>
        <w:tc>
          <w:tcPr>
            <w:tcW w:w="2212" w:type="dxa"/>
            <w:tcMar>
              <w:top w:w="16" w:type="dxa"/>
              <w:left w:w="16" w:type="dxa"/>
              <w:right w:w="16" w:type="dxa"/>
            </w:tcMar>
            <w:vAlign w:val="center"/>
          </w:tcPr>
          <w:p>
            <w:pPr>
              <w:adjustRightInd w:val="0"/>
              <w:snapToGrid w:val="0"/>
              <w:jc w:val="center"/>
              <w:rPr>
                <w:rFonts w:ascii="宋体" w:hAnsi="宋体" w:eastAsia="宋体" w:cs="宋体"/>
                <w:szCs w:val="21"/>
              </w:rPr>
            </w:pPr>
            <w:r>
              <w:rPr>
                <w:rFonts w:hint="eastAsia" w:ascii="宋体" w:hAnsi="宋体" w:eastAsia="宋体" w:cs="宋体"/>
                <w:szCs w:val="21"/>
              </w:rPr>
              <w:t>施工工期</w:t>
            </w:r>
          </w:p>
        </w:tc>
        <w:tc>
          <w:tcPr>
            <w:tcW w:w="2639" w:type="dxa"/>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5个月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trPr>
        <w:tc>
          <w:tcPr>
            <w:tcW w:w="2382" w:type="dxa"/>
            <w:tcMar>
              <w:top w:w="16" w:type="dxa"/>
              <w:left w:w="16" w:type="dxa"/>
              <w:right w:w="16" w:type="dxa"/>
            </w:tcMar>
            <w:vAlign w:val="center"/>
          </w:tcPr>
          <w:p>
            <w:pPr>
              <w:adjustRightInd w:val="0"/>
              <w:snapToGrid w:val="0"/>
              <w:jc w:val="center"/>
              <w:rPr>
                <w:rFonts w:ascii="宋体" w:hAnsi="宋体" w:eastAsia="宋体" w:cs="宋体"/>
                <w:szCs w:val="21"/>
              </w:rPr>
            </w:pPr>
            <w:r>
              <w:rPr>
                <w:rFonts w:hint="eastAsia" w:ascii="宋体" w:hAnsi="宋体" w:eastAsia="宋体" w:cs="宋体"/>
                <w:szCs w:val="21"/>
              </w:rPr>
              <w:t>是否开工建设</w:t>
            </w:r>
          </w:p>
        </w:tc>
        <w:tc>
          <w:tcPr>
            <w:tcW w:w="1637" w:type="dxa"/>
            <w:vAlign w:val="center"/>
          </w:tcPr>
          <w:p>
            <w:pPr>
              <w:adjustRightInd w:val="0"/>
              <w:snapToGrid w:val="0"/>
              <w:rPr>
                <w:rFonts w:ascii="宋体" w:hAnsi="宋体" w:eastAsia="宋体" w:cs="宋体"/>
                <w:szCs w:val="21"/>
              </w:rPr>
            </w:pPr>
            <w:r>
              <w:rPr>
                <w:rFonts w:hint="eastAsia" w:ascii="宋体" w:hAnsi="宋体" w:eastAsia="宋体" w:cs="宋体"/>
                <w:szCs w:val="21"/>
              </w:rPr>
              <w:sym w:font="Wingdings 2" w:char="F052"/>
            </w:r>
            <w:r>
              <w:rPr>
                <w:rFonts w:hint="eastAsia" w:ascii="宋体" w:hAnsi="宋体" w:eastAsia="宋体" w:cs="宋体"/>
                <w:szCs w:val="21"/>
              </w:rPr>
              <w:t>否</w:t>
            </w:r>
          </w:p>
          <w:p>
            <w:pPr>
              <w:adjustRightInd w:val="0"/>
              <w:snapToGrid w:val="0"/>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是：</w:t>
            </w:r>
            <w:r>
              <w:rPr>
                <w:rFonts w:hint="eastAsia" w:ascii="宋体" w:hAnsi="宋体" w:eastAsia="宋体" w:cs="宋体"/>
                <w:szCs w:val="21"/>
                <w:u w:val="single"/>
              </w:rPr>
              <w:t xml:space="preserve">             </w:t>
            </w:r>
          </w:p>
        </w:tc>
        <w:tc>
          <w:tcPr>
            <w:tcW w:w="2212" w:type="dxa"/>
            <w:tcMar>
              <w:top w:w="16" w:type="dxa"/>
              <w:left w:w="16" w:type="dxa"/>
              <w:right w:w="16" w:type="dxa"/>
            </w:tcMar>
            <w:vAlign w:val="center"/>
          </w:tcPr>
          <w:p>
            <w:pPr>
              <w:adjustRightInd w:val="0"/>
              <w:snapToGrid w:val="0"/>
              <w:jc w:val="center"/>
              <w:rPr>
                <w:rFonts w:ascii="宋体" w:hAnsi="宋体" w:eastAsia="宋体" w:cs="宋体"/>
                <w:spacing w:val="-6"/>
                <w:szCs w:val="21"/>
              </w:rPr>
            </w:pPr>
            <w:r>
              <w:rPr>
                <w:rFonts w:hint="eastAsia" w:ascii="宋体" w:hAnsi="宋体" w:eastAsia="宋体" w:cs="宋体"/>
                <w:spacing w:val="-6"/>
                <w:szCs w:val="21"/>
              </w:rPr>
              <w:t>用地（用海）</w:t>
            </w:r>
          </w:p>
          <w:p>
            <w:pPr>
              <w:adjustRightInd w:val="0"/>
              <w:snapToGrid w:val="0"/>
              <w:jc w:val="center"/>
              <w:rPr>
                <w:rFonts w:ascii="宋体" w:hAnsi="宋体" w:eastAsia="宋体" w:cs="宋体"/>
                <w:szCs w:val="21"/>
              </w:rPr>
            </w:pPr>
            <w:r>
              <w:rPr>
                <w:rFonts w:hint="eastAsia" w:ascii="宋体" w:hAnsi="宋体" w:eastAsia="宋体" w:cs="宋体"/>
                <w:spacing w:val="-6"/>
                <w:szCs w:val="21"/>
              </w:rPr>
              <w:t>面积（</w:t>
            </w:r>
            <w:r>
              <w:rPr>
                <w:rFonts w:ascii="宋体" w:hAnsi="宋体" w:eastAsia="宋体" w:cs="宋体"/>
                <w:spacing w:val="-6"/>
                <w:szCs w:val="21"/>
              </w:rPr>
              <w:t>m</w:t>
            </w:r>
            <w:r>
              <w:rPr>
                <w:rFonts w:ascii="宋体" w:hAnsi="宋体" w:eastAsia="宋体" w:cs="宋体"/>
                <w:spacing w:val="-6"/>
                <w:szCs w:val="21"/>
                <w:vertAlign w:val="superscript"/>
              </w:rPr>
              <w:t>2</w:t>
            </w:r>
            <w:r>
              <w:rPr>
                <w:rFonts w:hint="eastAsia" w:ascii="宋体" w:hAnsi="宋体" w:eastAsia="宋体" w:cs="宋体"/>
                <w:spacing w:val="-6"/>
                <w:szCs w:val="21"/>
              </w:rPr>
              <w:t>）</w:t>
            </w:r>
          </w:p>
        </w:tc>
        <w:tc>
          <w:tcPr>
            <w:tcW w:w="2639" w:type="dxa"/>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7150.74</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trPr>
        <w:tc>
          <w:tcPr>
            <w:tcW w:w="2382" w:type="dxa"/>
            <w:vAlign w:val="center"/>
          </w:tcPr>
          <w:p>
            <w:pPr>
              <w:autoSpaceDE w:val="0"/>
              <w:autoSpaceDN w:val="0"/>
              <w:adjustRightInd w:val="0"/>
              <w:snapToGrid w:val="0"/>
              <w:jc w:val="center"/>
              <w:rPr>
                <w:rFonts w:ascii="宋体" w:hAnsi="宋体" w:eastAsia="宋体" w:cs="宋体"/>
                <w:kern w:val="0"/>
                <w:szCs w:val="21"/>
              </w:rPr>
            </w:pPr>
            <w:r>
              <w:rPr>
                <w:rFonts w:hint="eastAsia" w:ascii="宋体" w:hAnsi="宋体" w:eastAsia="宋体" w:cs="宋体"/>
                <w:kern w:val="0"/>
                <w:szCs w:val="21"/>
              </w:rPr>
              <w:t>专项评价设置情况</w:t>
            </w:r>
          </w:p>
        </w:tc>
        <w:tc>
          <w:tcPr>
            <w:tcW w:w="6488" w:type="dxa"/>
            <w:gridSpan w:val="3"/>
            <w:vAlign w:val="center"/>
          </w:tcPr>
          <w:p>
            <w:pPr>
              <w:autoSpaceDE w:val="0"/>
              <w:autoSpaceDN w:val="0"/>
              <w:adjustRightInd w:val="0"/>
              <w:snapToGrid w:val="0"/>
              <w:jc w:val="center"/>
              <w:rPr>
                <w:rFonts w:ascii="宋体" w:hAnsi="宋体" w:eastAsia="宋体" w:cs="宋体"/>
                <w:kern w:val="0"/>
                <w:szCs w:val="21"/>
              </w:rPr>
            </w:pPr>
            <w:r>
              <w:rPr>
                <w:rFonts w:ascii="宋体" w:hAnsi="宋体" w:eastAsia="宋体" w:cs="宋体"/>
                <w:kern w:val="0"/>
                <w:szCs w:val="21"/>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trPr>
        <w:tc>
          <w:tcPr>
            <w:tcW w:w="2382" w:type="dxa"/>
            <w:vAlign w:val="center"/>
          </w:tcPr>
          <w:p>
            <w:pPr>
              <w:autoSpaceDE w:val="0"/>
              <w:autoSpaceDN w:val="0"/>
              <w:adjustRightInd w:val="0"/>
              <w:snapToGrid w:val="0"/>
              <w:jc w:val="center"/>
              <w:rPr>
                <w:rFonts w:ascii="宋体" w:hAnsi="宋体" w:eastAsia="宋体" w:cs="宋体"/>
                <w:kern w:val="0"/>
                <w:szCs w:val="21"/>
              </w:rPr>
            </w:pPr>
            <w:r>
              <w:rPr>
                <w:rFonts w:hint="eastAsia" w:ascii="宋体" w:hAnsi="宋体" w:eastAsia="宋体" w:cs="宋体"/>
                <w:szCs w:val="21"/>
              </w:rPr>
              <w:t>规划情况</w:t>
            </w:r>
          </w:p>
        </w:tc>
        <w:tc>
          <w:tcPr>
            <w:tcW w:w="6488" w:type="dxa"/>
            <w:gridSpan w:val="3"/>
            <w:vAlign w:val="center"/>
          </w:tcPr>
          <w:p>
            <w:pPr>
              <w:autoSpaceDE w:val="0"/>
              <w:autoSpaceDN w:val="0"/>
              <w:adjustRightInd w:val="0"/>
              <w:snapToGrid w:val="0"/>
              <w:jc w:val="center"/>
              <w:rPr>
                <w:rFonts w:ascii="Times New Roman" w:hAnsi="Times New Roman" w:eastAsia="宋体" w:cs="Times New Roman"/>
                <w:kern w:val="0"/>
                <w:szCs w:val="21"/>
              </w:rPr>
            </w:pPr>
            <w:r>
              <w:rPr>
                <w:rFonts w:ascii="宋体" w:hAnsi="宋体" w:eastAsia="宋体" w:cs="宋体"/>
                <w:kern w:val="0"/>
                <w:szCs w:val="21"/>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trPr>
        <w:tc>
          <w:tcPr>
            <w:tcW w:w="2382" w:type="dxa"/>
            <w:vAlign w:val="center"/>
          </w:tcPr>
          <w:p>
            <w:pPr>
              <w:adjustRightInd w:val="0"/>
              <w:snapToGrid w:val="0"/>
              <w:jc w:val="center"/>
              <w:rPr>
                <w:rFonts w:ascii="宋体" w:hAnsi="宋体" w:eastAsia="宋体" w:cs="宋体"/>
                <w:szCs w:val="21"/>
              </w:rPr>
            </w:pPr>
            <w:r>
              <w:rPr>
                <w:rFonts w:hint="eastAsia" w:ascii="宋体" w:hAnsi="宋体" w:eastAsia="宋体" w:cs="宋体"/>
                <w:szCs w:val="21"/>
              </w:rPr>
              <w:t>规划环境影响</w:t>
            </w:r>
          </w:p>
          <w:p>
            <w:pPr>
              <w:adjustRightInd w:val="0"/>
              <w:snapToGrid w:val="0"/>
              <w:jc w:val="center"/>
              <w:rPr>
                <w:rFonts w:ascii="宋体" w:hAnsi="宋体" w:eastAsia="宋体" w:cs="宋体"/>
                <w:kern w:val="0"/>
                <w:szCs w:val="21"/>
              </w:rPr>
            </w:pPr>
            <w:r>
              <w:rPr>
                <w:rFonts w:hint="eastAsia" w:ascii="宋体" w:hAnsi="宋体" w:eastAsia="宋体" w:cs="宋体"/>
                <w:szCs w:val="21"/>
              </w:rPr>
              <w:t>评价情况</w:t>
            </w:r>
          </w:p>
        </w:tc>
        <w:tc>
          <w:tcPr>
            <w:tcW w:w="6488" w:type="dxa"/>
            <w:gridSpan w:val="3"/>
            <w:vAlign w:val="center"/>
          </w:tcPr>
          <w:p>
            <w:pPr>
              <w:autoSpaceDE w:val="0"/>
              <w:autoSpaceDN w:val="0"/>
              <w:adjustRightInd w:val="0"/>
              <w:snapToGrid w:val="0"/>
              <w:spacing w:line="360" w:lineRule="auto"/>
              <w:jc w:val="center"/>
              <w:rPr>
                <w:rFonts w:ascii="Times New Roman" w:hAnsi="Times New Roman" w:eastAsia="宋体" w:cs="Times New Roman"/>
                <w:kern w:val="0"/>
                <w:szCs w:val="21"/>
              </w:rPr>
            </w:pPr>
            <w:r>
              <w:rPr>
                <w:rFonts w:ascii="宋体" w:hAnsi="宋体" w:eastAsia="宋体" w:cs="宋体"/>
                <w:kern w:val="0"/>
                <w:szCs w:val="21"/>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trPr>
        <w:tc>
          <w:tcPr>
            <w:tcW w:w="2382" w:type="dxa"/>
            <w:vAlign w:val="center"/>
          </w:tcPr>
          <w:p>
            <w:pPr>
              <w:autoSpaceDE w:val="0"/>
              <w:autoSpaceDN w:val="0"/>
              <w:adjustRightInd w:val="0"/>
              <w:snapToGrid w:val="0"/>
              <w:jc w:val="center"/>
              <w:rPr>
                <w:rFonts w:ascii="宋体" w:hAnsi="宋体" w:eastAsia="宋体" w:cs="宋体"/>
                <w:kern w:val="0"/>
                <w:szCs w:val="21"/>
              </w:rPr>
            </w:pPr>
            <w:r>
              <w:rPr>
                <w:rFonts w:hint="eastAsia" w:ascii="宋体" w:hAnsi="宋体" w:eastAsia="宋体" w:cs="宋体"/>
                <w:kern w:val="0"/>
                <w:szCs w:val="21"/>
              </w:rPr>
              <w:t>规划及规划环境</w:t>
            </w:r>
          </w:p>
          <w:p>
            <w:pPr>
              <w:autoSpaceDE w:val="0"/>
              <w:autoSpaceDN w:val="0"/>
              <w:adjustRightInd w:val="0"/>
              <w:snapToGrid w:val="0"/>
              <w:jc w:val="center"/>
              <w:rPr>
                <w:rFonts w:ascii="宋体" w:hAnsi="宋体" w:eastAsia="宋体" w:cs="宋体"/>
                <w:kern w:val="0"/>
                <w:szCs w:val="21"/>
              </w:rPr>
            </w:pPr>
            <w:r>
              <w:rPr>
                <w:rFonts w:hint="eastAsia" w:ascii="宋体" w:hAnsi="宋体" w:eastAsia="宋体" w:cs="宋体"/>
                <w:kern w:val="0"/>
                <w:szCs w:val="21"/>
              </w:rPr>
              <w:t>影响评价符合性分析</w:t>
            </w:r>
          </w:p>
        </w:tc>
        <w:tc>
          <w:tcPr>
            <w:tcW w:w="6488" w:type="dxa"/>
            <w:gridSpan w:val="3"/>
            <w:vAlign w:val="center"/>
          </w:tcPr>
          <w:p>
            <w:pPr>
              <w:autoSpaceDE w:val="0"/>
              <w:autoSpaceDN w:val="0"/>
              <w:adjustRightInd w:val="0"/>
              <w:snapToGrid w:val="0"/>
              <w:spacing w:line="360" w:lineRule="auto"/>
              <w:jc w:val="center"/>
              <w:rPr>
                <w:rFonts w:ascii="Times New Roman" w:hAnsi="Times New Roman" w:eastAsia="宋体" w:cs="Times New Roman"/>
                <w:szCs w:val="24"/>
              </w:rPr>
            </w:pPr>
            <w:r>
              <w:rPr>
                <w:rFonts w:ascii="宋体" w:hAnsi="宋体" w:eastAsia="宋体" w:cs="宋体"/>
                <w:kern w:val="0"/>
                <w:szCs w:val="21"/>
              </w:rPr>
              <w:t>无</w:t>
            </w:r>
          </w:p>
        </w:tc>
      </w:tr>
    </w:tbl>
    <w:p>
      <w:r>
        <w:br w:type="page"/>
      </w:r>
    </w:p>
    <w:tbl>
      <w:tblPr>
        <w:tblStyle w:val="18"/>
        <w:tblpPr w:leftFromText="180" w:rightFromText="180" w:vertAnchor="text" w:tblpXSpec="center" w:tblpY="1"/>
        <w:tblOverlap w:val="never"/>
        <w:tblW w:w="0" w:type="auto"/>
        <w:tblInd w:w="92"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2382"/>
        <w:gridCol w:w="648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2382" w:type="dxa"/>
            <w:vAlign w:val="center"/>
          </w:tcPr>
          <w:p>
            <w:pPr>
              <w:autoSpaceDE w:val="0"/>
              <w:autoSpaceDN w:val="0"/>
              <w:adjustRightInd w:val="0"/>
              <w:snapToGrid w:val="0"/>
              <w:jc w:val="center"/>
              <w:rPr>
                <w:rFonts w:ascii="宋体" w:hAnsi="宋体" w:eastAsia="宋体" w:cs="宋体"/>
                <w:kern w:val="0"/>
                <w:szCs w:val="21"/>
              </w:rPr>
            </w:pPr>
            <w:r>
              <w:rPr>
                <w:rFonts w:hint="eastAsia" w:ascii="宋体" w:hAnsi="宋体" w:eastAsia="宋体" w:cs="宋体"/>
                <w:kern w:val="0"/>
                <w:szCs w:val="21"/>
              </w:rPr>
              <w:t>其他符合性分析</w:t>
            </w:r>
          </w:p>
        </w:tc>
        <w:tc>
          <w:tcPr>
            <w:tcW w:w="6488" w:type="dxa"/>
            <w:vAlign w:val="center"/>
          </w:tcPr>
          <w:p>
            <w:pPr>
              <w:numPr>
                <w:ilvl w:val="0"/>
                <w:numId w:val="1"/>
              </w:numPr>
              <w:autoSpaceDE w:val="0"/>
              <w:autoSpaceDN w:val="0"/>
              <w:adjustRightInd w:val="0"/>
              <w:snapToGrid w:val="0"/>
              <w:spacing w:line="360" w:lineRule="auto"/>
              <w:jc w:val="left"/>
              <w:rPr>
                <w:rFonts w:ascii="宋体" w:hAnsi="宋体" w:eastAsia="宋体" w:cs="宋体"/>
                <w:kern w:val="0"/>
                <w:szCs w:val="21"/>
              </w:rPr>
            </w:pPr>
            <w:r>
              <w:rPr>
                <w:rFonts w:hint="eastAsia" w:ascii="宋体" w:hAnsi="宋体" w:eastAsia="宋体" w:cs="宋体"/>
                <w:kern w:val="0"/>
                <w:szCs w:val="21"/>
              </w:rPr>
              <w:t>产业政策符合性</w:t>
            </w:r>
          </w:p>
          <w:p>
            <w:pPr>
              <w:adjustRightInd w:val="0"/>
              <w:snapToGrid w:val="0"/>
              <w:spacing w:line="360" w:lineRule="auto"/>
              <w:ind w:firstLine="420" w:firstLineChars="200"/>
              <w:rPr>
                <w:rFonts w:ascii="Times New Roman" w:hAnsi="Times New Roman" w:eastAsia="宋体" w:cs="Times New Roman"/>
                <w:snapToGrid w:val="0"/>
                <w:kern w:val="0"/>
                <w:szCs w:val="25"/>
              </w:rPr>
            </w:pPr>
            <w:r>
              <w:rPr>
                <w:rFonts w:hint="eastAsia" w:ascii="Times New Roman" w:hAnsi="Times New Roman" w:eastAsia="宋体" w:cs="Times New Roman"/>
                <w:szCs w:val="24"/>
              </w:rPr>
              <w:t>（</w:t>
            </w:r>
            <w:r>
              <w:rPr>
                <w:rFonts w:hint="eastAsia" w:ascii="Times New Roman" w:hAnsi="Times New Roman" w:eastAsia="宋体" w:cs="Times New Roman"/>
                <w:snapToGrid w:val="0"/>
                <w:kern w:val="0"/>
                <w:szCs w:val="25"/>
              </w:rPr>
              <w:t>1）</w:t>
            </w:r>
            <w:r>
              <w:rPr>
                <w:rFonts w:ascii="Times New Roman" w:hAnsi="Times New Roman" w:eastAsia="宋体" w:cs="Times New Roman"/>
                <w:snapToGrid w:val="0"/>
                <w:kern w:val="0"/>
                <w:szCs w:val="25"/>
              </w:rPr>
              <w:t>《产业结构调整</w:t>
            </w:r>
            <w:r>
              <w:rPr>
                <w:rFonts w:hint="eastAsia" w:ascii="Times New Roman" w:hAnsi="Times New Roman" w:eastAsia="宋体" w:cs="Times New Roman"/>
                <w:snapToGrid w:val="0"/>
                <w:kern w:val="0"/>
                <w:szCs w:val="25"/>
              </w:rPr>
              <w:t>指导</w:t>
            </w:r>
            <w:r>
              <w:rPr>
                <w:rFonts w:ascii="Times New Roman" w:hAnsi="Times New Roman" w:eastAsia="宋体" w:cs="Times New Roman"/>
                <w:snapToGrid w:val="0"/>
                <w:kern w:val="0"/>
                <w:szCs w:val="25"/>
              </w:rPr>
              <w:t>目录（201</w:t>
            </w:r>
            <w:r>
              <w:rPr>
                <w:rFonts w:hint="eastAsia" w:ascii="Times New Roman" w:hAnsi="Times New Roman" w:eastAsia="宋体" w:cs="Times New Roman"/>
                <w:snapToGrid w:val="0"/>
                <w:kern w:val="0"/>
                <w:szCs w:val="25"/>
              </w:rPr>
              <w:t>9</w:t>
            </w:r>
            <w:r>
              <w:rPr>
                <w:rFonts w:ascii="Times New Roman" w:hAnsi="Times New Roman" w:eastAsia="宋体" w:cs="Times New Roman"/>
                <w:snapToGrid w:val="0"/>
                <w:kern w:val="0"/>
                <w:szCs w:val="25"/>
              </w:rPr>
              <w:t>年本）》</w:t>
            </w:r>
            <w:r>
              <w:rPr>
                <w:rFonts w:hint="eastAsia" w:ascii="Times New Roman" w:hAnsi="Times New Roman" w:eastAsia="宋体" w:cs="Times New Roman"/>
                <w:snapToGrid w:val="0"/>
                <w:kern w:val="0"/>
                <w:szCs w:val="25"/>
              </w:rPr>
              <w:t>的</w:t>
            </w:r>
            <w:r>
              <w:rPr>
                <w:rFonts w:ascii="Times New Roman" w:hAnsi="Times New Roman" w:eastAsia="宋体" w:cs="Times New Roman"/>
                <w:snapToGrid w:val="0"/>
                <w:kern w:val="0"/>
                <w:szCs w:val="25"/>
              </w:rPr>
              <w:t>符合性</w:t>
            </w:r>
          </w:p>
          <w:p>
            <w:pPr>
              <w:adjustRightInd w:val="0"/>
              <w:snapToGrid w:val="0"/>
              <w:spacing w:line="360" w:lineRule="auto"/>
              <w:ind w:firstLine="420" w:firstLineChars="200"/>
              <w:rPr>
                <w:rFonts w:ascii="Times New Roman" w:hAnsi="Times New Roman" w:eastAsia="宋体" w:cs="Times New Roman"/>
                <w:snapToGrid w:val="0"/>
                <w:kern w:val="0"/>
                <w:szCs w:val="25"/>
              </w:rPr>
            </w:pPr>
            <w:r>
              <w:rPr>
                <w:rFonts w:hint="eastAsia" w:ascii="Times New Roman" w:hAnsi="Times New Roman" w:eastAsia="宋体" w:cs="Times New Roman"/>
                <w:snapToGrid w:val="0"/>
                <w:kern w:val="0"/>
                <w:szCs w:val="25"/>
              </w:rPr>
              <w:t>本项目所用原料、生产工艺、生产设备及产品均不</w:t>
            </w:r>
            <w:r>
              <w:rPr>
                <w:rFonts w:ascii="Times New Roman" w:hAnsi="Times New Roman" w:eastAsia="宋体" w:cs="Times New Roman"/>
                <w:snapToGrid w:val="0"/>
                <w:kern w:val="0"/>
                <w:szCs w:val="25"/>
              </w:rPr>
              <w:t>属于《产业结构调整目录（201</w:t>
            </w:r>
            <w:r>
              <w:rPr>
                <w:rFonts w:hint="eastAsia" w:ascii="Times New Roman" w:hAnsi="Times New Roman" w:eastAsia="宋体" w:cs="Times New Roman"/>
                <w:snapToGrid w:val="0"/>
                <w:kern w:val="0"/>
                <w:szCs w:val="25"/>
              </w:rPr>
              <w:t>9</w:t>
            </w:r>
            <w:r>
              <w:rPr>
                <w:rFonts w:ascii="Times New Roman" w:hAnsi="Times New Roman" w:eastAsia="宋体" w:cs="Times New Roman"/>
                <w:snapToGrid w:val="0"/>
                <w:kern w:val="0"/>
                <w:szCs w:val="25"/>
              </w:rPr>
              <w:t>年本）》</w:t>
            </w:r>
            <w:r>
              <w:rPr>
                <w:rFonts w:hint="eastAsia" w:ascii="Times New Roman" w:hAnsi="Times New Roman" w:eastAsia="宋体" w:cs="Times New Roman"/>
                <w:snapToGrid w:val="0"/>
                <w:kern w:val="0"/>
                <w:szCs w:val="25"/>
              </w:rPr>
              <w:t>限制类、淘汰类内容，</w:t>
            </w:r>
            <w:r>
              <w:rPr>
                <w:rFonts w:ascii="Times New Roman" w:hAnsi="Times New Roman" w:eastAsia="宋体" w:cs="Times New Roman"/>
                <w:snapToGrid w:val="0"/>
                <w:kern w:val="0"/>
                <w:szCs w:val="25"/>
              </w:rPr>
              <w:t>属于国家鼓励类产业“第</w:t>
            </w:r>
            <w:r>
              <w:rPr>
                <w:rFonts w:hint="eastAsia" w:ascii="Times New Roman" w:hAnsi="Times New Roman" w:eastAsia="宋体" w:cs="Times New Roman"/>
                <w:snapToGrid w:val="0"/>
                <w:kern w:val="0"/>
                <w:szCs w:val="25"/>
              </w:rPr>
              <w:t>四十三</w:t>
            </w:r>
            <w:r>
              <w:rPr>
                <w:rFonts w:ascii="Times New Roman" w:hAnsi="Times New Roman" w:eastAsia="宋体" w:cs="Times New Roman"/>
                <w:snapToGrid w:val="0"/>
                <w:kern w:val="0"/>
                <w:szCs w:val="25"/>
              </w:rPr>
              <w:t>项环境保护与资源节约综合利用第2</w:t>
            </w:r>
            <w:r>
              <w:rPr>
                <w:rFonts w:hint="eastAsia" w:ascii="Times New Roman" w:hAnsi="Times New Roman" w:eastAsia="宋体" w:cs="Times New Roman"/>
                <w:snapToGrid w:val="0"/>
                <w:kern w:val="0"/>
                <w:szCs w:val="25"/>
              </w:rPr>
              <w:t>7</w:t>
            </w:r>
            <w:r>
              <w:rPr>
                <w:rFonts w:ascii="Times New Roman" w:hAnsi="Times New Roman" w:eastAsia="宋体" w:cs="Times New Roman"/>
                <w:snapToGrid w:val="0"/>
                <w:kern w:val="0"/>
                <w:szCs w:val="25"/>
              </w:rPr>
              <w:t>类-</w:t>
            </w:r>
            <w:r>
              <w:rPr>
                <w:rFonts w:hint="eastAsia" w:ascii="Times New Roman" w:hAnsi="Times New Roman" w:eastAsia="宋体" w:cs="Times New Roman"/>
                <w:snapToGrid w:val="0"/>
                <w:kern w:val="0"/>
                <w:szCs w:val="25"/>
              </w:rPr>
              <w:t>废旧木材、</w:t>
            </w:r>
          </w:p>
          <w:p>
            <w:pPr>
              <w:adjustRightInd w:val="0"/>
              <w:snapToGrid w:val="0"/>
              <w:spacing w:line="360" w:lineRule="auto"/>
              <w:rPr>
                <w:rFonts w:ascii="Times New Roman" w:hAnsi="Times New Roman" w:eastAsia="宋体" w:cs="Times New Roman"/>
                <w:snapToGrid w:val="0"/>
                <w:kern w:val="0"/>
                <w:szCs w:val="25"/>
              </w:rPr>
            </w:pPr>
            <w:r>
              <w:rPr>
                <w:rFonts w:hint="eastAsia" w:ascii="Times New Roman" w:hAnsi="Times New Roman" w:eastAsia="宋体" w:cs="Times New Roman"/>
                <w:snapToGrid w:val="0"/>
                <w:kern w:val="0"/>
                <w:szCs w:val="25"/>
              </w:rPr>
              <w:t>废旧电器电子产品、废印刷电路板、废旧电池、废旧船舶、废旧农机、废塑料、废旧纺织品及纺织废料和边角料、废（碎）玻璃、废橡胶、废弃油脂等废旧物资等资源循环再利用技术、设备开发及应用”</w:t>
            </w:r>
            <w:r>
              <w:rPr>
                <w:rFonts w:ascii="Times New Roman" w:hAnsi="Times New Roman" w:eastAsia="宋体" w:cs="Times New Roman"/>
                <w:snapToGrid w:val="0"/>
                <w:kern w:val="0"/>
                <w:szCs w:val="25"/>
              </w:rPr>
              <w:t xml:space="preserve">。 </w:t>
            </w:r>
          </w:p>
          <w:p>
            <w:pPr>
              <w:adjustRightInd w:val="0"/>
              <w:snapToGrid w:val="0"/>
              <w:spacing w:line="360" w:lineRule="auto"/>
              <w:ind w:firstLine="420" w:firstLineChars="200"/>
              <w:rPr>
                <w:rFonts w:ascii="Times New Roman" w:hAnsi="Times New Roman" w:eastAsia="宋体" w:cs="Times New Roman"/>
                <w:snapToGrid w:val="0"/>
                <w:kern w:val="0"/>
                <w:szCs w:val="25"/>
              </w:rPr>
            </w:pPr>
            <w:r>
              <w:rPr>
                <w:rFonts w:hint="eastAsia" w:ascii="Times New Roman" w:hAnsi="Times New Roman" w:eastAsia="宋体" w:cs="Times New Roman"/>
                <w:snapToGrid w:val="0"/>
                <w:kern w:val="0"/>
                <w:szCs w:val="25"/>
              </w:rPr>
              <w:t>（2）本项目不属于《河北省新增限制和淘汰类产业目录》（2015版）、《秦皇岛市限制和禁止投资的产业目录》（2020年修订版）限制和禁止类。</w:t>
            </w:r>
          </w:p>
          <w:p>
            <w:pPr>
              <w:adjustRightInd w:val="0"/>
              <w:snapToGrid w:val="0"/>
              <w:spacing w:line="360" w:lineRule="auto"/>
              <w:ind w:firstLine="420" w:firstLineChars="200"/>
              <w:rPr>
                <w:rFonts w:ascii="Times New Roman" w:hAnsi="Times New Roman" w:eastAsia="宋体" w:cs="Times New Roman"/>
                <w:snapToGrid w:val="0"/>
                <w:kern w:val="0"/>
                <w:szCs w:val="25"/>
              </w:rPr>
            </w:pPr>
            <w:r>
              <w:rPr>
                <w:rFonts w:ascii="Times New Roman" w:hAnsi="Times New Roman" w:eastAsia="宋体" w:cs="Times New Roman"/>
                <w:snapToGrid w:val="0"/>
                <w:kern w:val="0"/>
                <w:szCs w:val="25"/>
              </w:rPr>
              <w:t>（3）</w:t>
            </w:r>
            <w:r>
              <w:rPr>
                <w:rFonts w:ascii="Times New Roman" w:hAnsi="Times New Roman" w:eastAsia="宋体" w:cs="Times New Roman"/>
                <w:szCs w:val="21"/>
              </w:rPr>
              <w:t>本项目已在抚宁区行政审批局备案，备案文号为抚行审备〔2022〕</w:t>
            </w:r>
            <w:r>
              <w:rPr>
                <w:rFonts w:hint="eastAsia" w:ascii="Times New Roman" w:hAnsi="Times New Roman" w:eastAsia="宋体" w:cs="Times New Roman"/>
                <w:szCs w:val="21"/>
              </w:rPr>
              <w:t>80</w:t>
            </w:r>
            <w:r>
              <w:rPr>
                <w:rFonts w:ascii="Times New Roman" w:hAnsi="Times New Roman" w:eastAsia="宋体" w:cs="Times New Roman"/>
                <w:szCs w:val="21"/>
              </w:rPr>
              <w:t>号。</w:t>
            </w:r>
          </w:p>
          <w:p>
            <w:pPr>
              <w:numPr>
                <w:ilvl w:val="0"/>
                <w:numId w:val="1"/>
              </w:numPr>
              <w:autoSpaceDE w:val="0"/>
              <w:autoSpaceDN w:val="0"/>
              <w:adjustRightInd w:val="0"/>
              <w:snapToGrid w:val="0"/>
              <w:spacing w:line="360" w:lineRule="auto"/>
              <w:jc w:val="left"/>
              <w:rPr>
                <w:rFonts w:ascii="Times New Roman" w:hAnsi="Times New Roman" w:eastAsia="宋体" w:cs="Times New Roman"/>
                <w:szCs w:val="24"/>
              </w:rPr>
            </w:pPr>
            <w:r>
              <w:rPr>
                <w:rFonts w:hint="eastAsia" w:ascii="宋体" w:hAnsi="宋体" w:eastAsia="宋体" w:cs="宋体"/>
                <w:kern w:val="0"/>
                <w:szCs w:val="21"/>
              </w:rPr>
              <w:t>选址合理性</w:t>
            </w:r>
          </w:p>
          <w:p>
            <w:pPr>
              <w:adjustRightInd w:val="0"/>
              <w:snapToGrid w:val="0"/>
              <w:spacing w:line="360" w:lineRule="auto"/>
              <w:ind w:firstLine="420" w:firstLineChars="200"/>
              <w:rPr>
                <w:rFonts w:ascii="Times New Roman" w:hAnsi="Times New Roman" w:eastAsia="宋体" w:cs="Times New Roman"/>
                <w:snapToGrid w:val="0"/>
                <w:kern w:val="0"/>
                <w:szCs w:val="25"/>
              </w:rPr>
            </w:pPr>
            <w:r>
              <w:rPr>
                <w:rFonts w:ascii="Times New Roman" w:hAnsi="Times New Roman" w:eastAsia="宋体" w:cs="Times New Roman"/>
                <w:snapToGrid w:val="0"/>
                <w:kern w:val="0"/>
                <w:szCs w:val="25"/>
              </w:rPr>
              <w:t>项目厂址位于</w:t>
            </w:r>
            <w:r>
              <w:rPr>
                <w:rFonts w:hint="eastAsia" w:ascii="Times New Roman" w:hAnsi="Times New Roman" w:eastAsia="宋体" w:cs="Times New Roman"/>
                <w:snapToGrid w:val="0"/>
                <w:kern w:val="0"/>
                <w:szCs w:val="25"/>
              </w:rPr>
              <w:t>抚宁区留守营镇毛家营村</w:t>
            </w:r>
            <w:r>
              <w:rPr>
                <w:rFonts w:ascii="Times New Roman" w:hAnsi="Times New Roman" w:eastAsia="宋体" w:cs="Times New Roman"/>
                <w:snapToGrid w:val="0"/>
                <w:kern w:val="0"/>
                <w:szCs w:val="25"/>
              </w:rPr>
              <w:t>，不属于《河北省环境敏感区支持、限制及禁止建设项目名录（2005年修订版）》及《关于河北省区域禁（限）批建设项目的实施意见（试行）》（冀政〔2009〕89号）文件规定的敏感区域，选址符合有关规定。</w:t>
            </w:r>
          </w:p>
          <w:p>
            <w:pPr>
              <w:adjustRightInd w:val="0"/>
              <w:snapToGrid w:val="0"/>
              <w:spacing w:line="360" w:lineRule="auto"/>
              <w:ind w:firstLine="420" w:firstLineChars="200"/>
              <w:rPr>
                <w:rFonts w:ascii="Times New Roman" w:hAnsi="Times New Roman" w:eastAsia="宋体" w:cs="Times New Roman"/>
                <w:snapToGrid w:val="0"/>
                <w:kern w:val="0"/>
                <w:szCs w:val="25"/>
              </w:rPr>
            </w:pPr>
            <w:r>
              <w:rPr>
                <w:rFonts w:ascii="Times New Roman" w:hAnsi="Times New Roman" w:eastAsia="宋体" w:cs="Times New Roman"/>
                <w:snapToGrid w:val="0"/>
                <w:kern w:val="0"/>
                <w:szCs w:val="25"/>
              </w:rPr>
              <w:t>项目选址不属于《河北省城市集中式饮用水水源保护区划分》（冀环控﹝2009﹞4号）规划确定的城市集中式饮用水水源地保护区范围。项目用地为工业用地，符合土地利用规划。</w:t>
            </w:r>
          </w:p>
          <w:p>
            <w:pPr>
              <w:adjustRightInd w:val="0"/>
              <w:snapToGrid w:val="0"/>
              <w:spacing w:line="360" w:lineRule="auto"/>
              <w:ind w:firstLine="420" w:firstLineChars="200"/>
              <w:rPr>
                <w:rFonts w:ascii="Times New Roman" w:hAnsi="Times New Roman" w:eastAsia="宋体" w:cs="Times New Roman"/>
                <w:snapToGrid w:val="0"/>
                <w:kern w:val="0"/>
                <w:szCs w:val="25"/>
              </w:rPr>
            </w:pPr>
            <w:r>
              <w:rPr>
                <w:rFonts w:hint="eastAsia" w:ascii="Times New Roman" w:hAnsi="Times New Roman" w:eastAsia="宋体" w:cs="Times New Roman"/>
                <w:snapToGrid w:val="0"/>
                <w:kern w:val="0"/>
                <w:szCs w:val="25"/>
              </w:rPr>
              <w:t>本项目租赁抚宁区留守营镇毛家营村村民委员会渤海大修厂用地，属于工业用地，见附件。</w:t>
            </w:r>
          </w:p>
          <w:p>
            <w:pPr>
              <w:adjustRightInd w:val="0"/>
              <w:snapToGrid w:val="0"/>
              <w:spacing w:line="360" w:lineRule="auto"/>
              <w:ind w:firstLine="420" w:firstLineChars="200"/>
              <w:rPr>
                <w:rFonts w:ascii="Times New Roman" w:hAnsi="Times New Roman" w:eastAsia="宋体" w:cs="Times New Roman"/>
                <w:snapToGrid w:val="0"/>
                <w:kern w:val="0"/>
                <w:szCs w:val="25"/>
              </w:rPr>
            </w:pPr>
            <w:r>
              <w:rPr>
                <w:rFonts w:ascii="Times New Roman" w:hAnsi="Times New Roman" w:eastAsia="宋体" w:cs="Times New Roman"/>
                <w:snapToGrid w:val="0"/>
                <w:kern w:val="0"/>
                <w:szCs w:val="25"/>
              </w:rPr>
              <w:t>项目选址可行</w:t>
            </w:r>
            <w:r>
              <w:rPr>
                <w:rFonts w:hint="eastAsia" w:ascii="Times New Roman" w:hAnsi="Times New Roman" w:eastAsia="宋体" w:cs="Times New Roman"/>
                <w:snapToGrid w:val="0"/>
                <w:kern w:val="0"/>
                <w:szCs w:val="25"/>
              </w:rPr>
              <w:t>。</w:t>
            </w:r>
          </w:p>
          <w:p>
            <w:pPr>
              <w:numPr>
                <w:ilvl w:val="0"/>
                <w:numId w:val="1"/>
              </w:numPr>
              <w:autoSpaceDE w:val="0"/>
              <w:autoSpaceDN w:val="0"/>
              <w:adjustRightInd w:val="0"/>
              <w:snapToGrid w:val="0"/>
              <w:spacing w:line="360" w:lineRule="auto"/>
              <w:ind w:left="0" w:firstLine="0"/>
              <w:jc w:val="left"/>
              <w:rPr>
                <w:snapToGrid w:val="0"/>
                <w:kern w:val="0"/>
                <w:szCs w:val="25"/>
              </w:rPr>
            </w:pPr>
            <w:r>
              <w:rPr>
                <w:rFonts w:hint="eastAsia"/>
                <w:snapToGrid w:val="0"/>
                <w:kern w:val="0"/>
                <w:szCs w:val="25"/>
              </w:rPr>
              <w:t>《河北省生态环境保护“十四五”规划》</w:t>
            </w:r>
            <w:r>
              <w:rPr>
                <w:snapToGrid w:val="0"/>
                <w:kern w:val="0"/>
                <w:szCs w:val="25"/>
              </w:rPr>
              <w:t>以及《秦皇岛市生态环境保护“十四五”规划（2021-2025）》</w:t>
            </w:r>
            <w:r>
              <w:rPr>
                <w:rFonts w:hint="eastAsia"/>
                <w:snapToGrid w:val="0"/>
                <w:kern w:val="0"/>
                <w:szCs w:val="25"/>
              </w:rPr>
              <w:t>符合性分析</w:t>
            </w:r>
          </w:p>
          <w:p>
            <w:pPr>
              <w:adjustRightInd w:val="0"/>
              <w:snapToGrid w:val="0"/>
              <w:spacing w:line="360" w:lineRule="auto"/>
              <w:ind w:firstLine="420" w:firstLineChars="200"/>
              <w:rPr>
                <w:snapToGrid w:val="0"/>
                <w:kern w:val="0"/>
                <w:szCs w:val="25"/>
              </w:rPr>
            </w:pPr>
            <w:r>
              <w:rPr>
                <w:rFonts w:hint="eastAsia"/>
                <w:snapToGrid w:val="0"/>
                <w:kern w:val="0"/>
                <w:szCs w:val="25"/>
              </w:rPr>
              <w:t>《</w:t>
            </w:r>
            <w:r>
              <w:rPr>
                <w:rFonts w:hint="eastAsia" w:ascii="宋体" w:hAnsi="宋体" w:cs="宋体"/>
                <w:kern w:val="0"/>
                <w:szCs w:val="21"/>
              </w:rPr>
              <w:t>河北省生态环境保护“十四五”规划</w:t>
            </w:r>
            <w:r>
              <w:rPr>
                <w:rFonts w:hint="eastAsia"/>
                <w:snapToGrid w:val="0"/>
                <w:kern w:val="0"/>
                <w:szCs w:val="25"/>
              </w:rPr>
              <w:t>》第五章“精准治理，持续改善环境空气质量”中要求推动重点行业深度治理和超低排放、深化重点行业挥发性有机物（VOCs）治理；第六章““三水”统筹，打造良好水生态环境”中要求强化工业污染减排，实施差别化环境准入政策，推进涉水工业企业全面入园进区。</w:t>
            </w:r>
          </w:p>
          <w:p>
            <w:pPr>
              <w:adjustRightInd w:val="0"/>
              <w:snapToGrid w:val="0"/>
              <w:spacing w:line="360" w:lineRule="auto"/>
              <w:ind w:firstLine="420" w:firstLineChars="200"/>
              <w:rPr>
                <w:rFonts w:ascii="Times New Roman" w:hAnsi="Times New Roman" w:eastAsia="宋体" w:cs="Times New Roman"/>
                <w:snapToGrid w:val="0"/>
                <w:kern w:val="0"/>
                <w:szCs w:val="25"/>
              </w:rPr>
            </w:pPr>
            <w:r>
              <w:rPr>
                <w:rFonts w:ascii="Times New Roman" w:hAnsi="Times New Roman" w:eastAsia="宋体" w:cs="Times New Roman"/>
                <w:kern w:val="0"/>
                <w:szCs w:val="21"/>
              </w:rPr>
              <w:t>《秦皇岛市生态环境保护“十四五”规划（2021-2025）》第五章“加强协同控制，改善大气环境”中要求“</w:t>
            </w:r>
            <w:r>
              <w:rPr>
                <w:rFonts w:hint="eastAsia" w:ascii="Times New Roman" w:hAnsi="Times New Roman" w:eastAsia="宋体" w:cs="Times New Roman"/>
                <w:kern w:val="0"/>
                <w:szCs w:val="21"/>
              </w:rPr>
              <w:t>深化</w:t>
            </w:r>
            <w:r>
              <w:rPr>
                <w:rFonts w:ascii="Times New Roman" w:hAnsi="Times New Roman" w:eastAsia="宋体" w:cs="Times New Roman"/>
                <w:kern w:val="0"/>
                <w:szCs w:val="21"/>
              </w:rPr>
              <w:t>工业</w:t>
            </w:r>
            <w:r>
              <w:rPr>
                <w:rFonts w:hint="eastAsia" w:ascii="Times New Roman" w:hAnsi="Times New Roman" w:eastAsia="宋体" w:cs="Times New Roman"/>
                <w:kern w:val="0"/>
                <w:szCs w:val="21"/>
              </w:rPr>
              <w:t>VOCs治理，推进扬尘综合整治，建筑用地严格控制扬尘</w:t>
            </w:r>
            <w:r>
              <w:rPr>
                <w:rFonts w:ascii="Times New Roman" w:hAnsi="Times New Roman" w:eastAsia="宋体" w:cs="Times New Roman"/>
                <w:kern w:val="0"/>
                <w:szCs w:val="21"/>
              </w:rPr>
              <w:t>”</w:t>
            </w:r>
          </w:p>
          <w:p>
            <w:pPr>
              <w:adjustRightInd w:val="0"/>
              <w:snapToGrid w:val="0"/>
              <w:spacing w:line="360" w:lineRule="auto"/>
              <w:ind w:firstLine="420" w:firstLineChars="200"/>
              <w:rPr>
                <w:rFonts w:ascii="Times New Roman" w:hAnsi="Times New Roman" w:eastAsia="宋体" w:cs="Times New Roman"/>
                <w:snapToGrid w:val="0"/>
                <w:kern w:val="0"/>
                <w:szCs w:val="25"/>
              </w:rPr>
            </w:pPr>
            <w:r>
              <w:rPr>
                <w:rFonts w:hint="eastAsia" w:ascii="Times New Roman" w:hAnsi="Times New Roman" w:eastAsia="宋体" w:cs="Times New Roman"/>
                <w:snapToGrid w:val="0"/>
                <w:kern w:val="0"/>
                <w:szCs w:val="25"/>
              </w:rPr>
              <w:t>本项目生产用水经污水处理系统处理后循环使用，无废水外排，废气只有臭气浓度，在施工期采取严格的控制扬尘措施，符合十四五规划。</w:t>
            </w:r>
          </w:p>
          <w:p>
            <w:pPr>
              <w:adjustRightInd w:val="0"/>
              <w:snapToGrid w:val="0"/>
              <w:spacing w:line="360" w:lineRule="auto"/>
              <w:ind w:firstLine="420" w:firstLineChars="200"/>
              <w:rPr>
                <w:rFonts w:ascii="Times New Roman" w:hAnsi="Times New Roman" w:eastAsia="宋体" w:cs="Times New Roman"/>
                <w:snapToGrid w:val="0"/>
                <w:kern w:val="0"/>
                <w:szCs w:val="25"/>
              </w:rPr>
            </w:pPr>
            <w:r>
              <w:rPr>
                <w:rFonts w:hint="eastAsia" w:ascii="Times New Roman" w:hAnsi="Times New Roman" w:eastAsia="宋体" w:cs="Times New Roman"/>
                <w:snapToGrid w:val="0"/>
                <w:kern w:val="0"/>
                <w:szCs w:val="25"/>
              </w:rPr>
              <w:t>本项目建设符合《河北省生态环境保护“十四五”规划》以及</w:t>
            </w:r>
            <w:r>
              <w:rPr>
                <w:rFonts w:ascii="Times New Roman" w:hAnsi="Times New Roman" w:eastAsia="宋体" w:cs="Times New Roman"/>
                <w:kern w:val="0"/>
                <w:szCs w:val="21"/>
              </w:rPr>
              <w:t>《秦皇岛市生态环境保护“十四五”规划（2021-2025）》</w:t>
            </w:r>
            <w:r>
              <w:rPr>
                <w:rFonts w:hint="eastAsia" w:ascii="Times New Roman" w:hAnsi="Times New Roman" w:eastAsia="宋体" w:cs="Times New Roman"/>
                <w:snapToGrid w:val="0"/>
                <w:kern w:val="0"/>
                <w:szCs w:val="25"/>
              </w:rPr>
              <w:t>要求。</w:t>
            </w:r>
          </w:p>
          <w:p>
            <w:pPr>
              <w:numPr>
                <w:ilvl w:val="0"/>
                <w:numId w:val="1"/>
              </w:numPr>
              <w:autoSpaceDE w:val="0"/>
              <w:autoSpaceDN w:val="0"/>
              <w:adjustRightInd w:val="0"/>
              <w:snapToGrid w:val="0"/>
              <w:spacing w:line="360" w:lineRule="auto"/>
              <w:jc w:val="left"/>
              <w:rPr>
                <w:rFonts w:ascii="Times New Roman" w:hAnsi="Times New Roman" w:eastAsia="宋体" w:cs="Times New Roman"/>
                <w:kern w:val="0"/>
                <w:szCs w:val="21"/>
              </w:rPr>
            </w:pPr>
            <w:r>
              <w:rPr>
                <w:rFonts w:ascii="宋体" w:hAnsi="宋体" w:eastAsia="宋体" w:cs="宋体"/>
                <w:kern w:val="0"/>
                <w:szCs w:val="21"/>
              </w:rPr>
              <w:t xml:space="preserve"> “三线一单”符合性分析</w:t>
            </w:r>
          </w:p>
          <w:p>
            <w:pPr>
              <w:adjustRightInd w:val="0"/>
              <w:snapToGrid w:val="0"/>
              <w:spacing w:line="360" w:lineRule="auto"/>
              <w:ind w:firstLine="420" w:firstLineChars="200"/>
              <w:rPr>
                <w:rFonts w:ascii="Times New Roman" w:hAnsi="Times New Roman" w:eastAsia="宋体" w:cs="Times New Roman"/>
                <w:snapToGrid w:val="0"/>
                <w:kern w:val="0"/>
                <w:szCs w:val="25"/>
              </w:rPr>
            </w:pPr>
            <w:r>
              <w:rPr>
                <w:rFonts w:hint="eastAsia" w:ascii="Times New Roman" w:hAnsi="Times New Roman" w:eastAsia="宋体" w:cs="Times New Roman"/>
                <w:snapToGrid w:val="0"/>
                <w:kern w:val="0"/>
                <w:szCs w:val="25"/>
              </w:rPr>
              <w:t>根据《关于以改善环境质量为核心加强环境影响评价管理的通知》（环环评</w:t>
            </w:r>
            <w:r>
              <w:rPr>
                <w:rFonts w:ascii="Times New Roman" w:hAnsi="Times New Roman" w:eastAsia="宋体" w:cs="Times New Roman"/>
                <w:snapToGrid w:val="0"/>
                <w:kern w:val="0"/>
                <w:szCs w:val="25"/>
              </w:rPr>
              <w:t>[2016]150</w:t>
            </w:r>
            <w:r>
              <w:rPr>
                <w:rFonts w:hint="eastAsia" w:ascii="Times New Roman" w:hAnsi="Times New Roman" w:eastAsia="宋体" w:cs="Times New Roman"/>
                <w:snapToGrid w:val="0"/>
                <w:kern w:val="0"/>
                <w:szCs w:val="25"/>
              </w:rPr>
              <w:t>号），文中</w:t>
            </w:r>
            <w:r>
              <w:rPr>
                <w:rFonts w:ascii="Times New Roman" w:hAnsi="Times New Roman" w:eastAsia="宋体" w:cs="Times New Roman"/>
                <w:snapToGrid w:val="0"/>
                <w:kern w:val="0"/>
                <w:szCs w:val="25"/>
              </w:rPr>
              <w:t>“</w:t>
            </w:r>
            <w:r>
              <w:rPr>
                <w:rFonts w:hint="eastAsia" w:ascii="Times New Roman" w:hAnsi="Times New Roman" w:eastAsia="宋体" w:cs="Times New Roman"/>
                <w:snapToGrid w:val="0"/>
                <w:kern w:val="0"/>
                <w:szCs w:val="25"/>
              </w:rPr>
              <w:t>为适应以改善环境质量为核心的环境管理要求，切实加强环境影响评价（以下简称环评）管理，落实生态保护红线、环境质量底线、资源利用上线和环境准入负面清单（以下简称</w:t>
            </w:r>
            <w:r>
              <w:rPr>
                <w:rFonts w:ascii="Times New Roman" w:hAnsi="Times New Roman" w:eastAsia="宋体" w:cs="Times New Roman"/>
                <w:snapToGrid w:val="0"/>
                <w:kern w:val="0"/>
                <w:szCs w:val="25"/>
              </w:rPr>
              <w:t>“</w:t>
            </w:r>
            <w:r>
              <w:rPr>
                <w:rFonts w:hint="eastAsia" w:ascii="Times New Roman" w:hAnsi="Times New Roman" w:eastAsia="宋体" w:cs="Times New Roman"/>
                <w:snapToGrid w:val="0"/>
                <w:kern w:val="0"/>
                <w:szCs w:val="25"/>
              </w:rPr>
              <w:t>三线一单</w:t>
            </w:r>
            <w:r>
              <w:rPr>
                <w:rFonts w:ascii="Times New Roman" w:hAnsi="Times New Roman" w:eastAsia="宋体" w:cs="Times New Roman"/>
                <w:snapToGrid w:val="0"/>
                <w:kern w:val="0"/>
                <w:szCs w:val="25"/>
              </w:rPr>
              <w:t>”</w:t>
            </w:r>
            <w:r>
              <w:rPr>
                <w:rFonts w:hint="eastAsia" w:ascii="Times New Roman" w:hAnsi="Times New Roman" w:eastAsia="宋体" w:cs="Times New Roman"/>
                <w:snapToGrid w:val="0"/>
                <w:kern w:val="0"/>
                <w:szCs w:val="25"/>
              </w:rPr>
              <w:t>）约束，建立项目环评审批与规划环评、现有项目环境管理、区域环境质量联动机制（以下简称</w:t>
            </w:r>
            <w:r>
              <w:rPr>
                <w:rFonts w:ascii="Times New Roman" w:hAnsi="Times New Roman" w:eastAsia="宋体" w:cs="Times New Roman"/>
                <w:snapToGrid w:val="0"/>
                <w:kern w:val="0"/>
                <w:szCs w:val="25"/>
              </w:rPr>
              <w:t>“</w:t>
            </w:r>
            <w:r>
              <w:rPr>
                <w:rFonts w:hint="eastAsia" w:ascii="Times New Roman" w:hAnsi="Times New Roman" w:eastAsia="宋体" w:cs="Times New Roman"/>
                <w:snapToGrid w:val="0"/>
                <w:kern w:val="0"/>
                <w:szCs w:val="25"/>
              </w:rPr>
              <w:t>三挂钩</w:t>
            </w:r>
            <w:r>
              <w:rPr>
                <w:rFonts w:ascii="Times New Roman" w:hAnsi="Times New Roman" w:eastAsia="宋体" w:cs="Times New Roman"/>
                <w:snapToGrid w:val="0"/>
                <w:kern w:val="0"/>
                <w:szCs w:val="25"/>
              </w:rPr>
              <w:t>”</w:t>
            </w:r>
            <w:r>
              <w:rPr>
                <w:rFonts w:hint="eastAsia" w:ascii="Times New Roman" w:hAnsi="Times New Roman" w:eastAsia="宋体" w:cs="Times New Roman"/>
                <w:snapToGrid w:val="0"/>
                <w:kern w:val="0"/>
                <w:szCs w:val="25"/>
              </w:rPr>
              <w:t>机制），更好地发挥环评制度从源头防范环境污染和生态破坏的作用，加快推进改善环境质量</w:t>
            </w:r>
            <w:r>
              <w:rPr>
                <w:rFonts w:ascii="Times New Roman" w:hAnsi="Times New Roman" w:eastAsia="宋体" w:cs="Times New Roman"/>
                <w:snapToGrid w:val="0"/>
                <w:kern w:val="0"/>
                <w:szCs w:val="25"/>
              </w:rPr>
              <w:t>”</w:t>
            </w:r>
            <w:r>
              <w:rPr>
                <w:rFonts w:hint="eastAsia" w:ascii="Times New Roman" w:hAnsi="Times New Roman" w:eastAsia="宋体" w:cs="Times New Roman"/>
                <w:snapToGrid w:val="0"/>
                <w:kern w:val="0"/>
                <w:szCs w:val="25"/>
              </w:rPr>
              <w:t>的要求，本项目结合生态环境部关于</w:t>
            </w:r>
            <w:r>
              <w:rPr>
                <w:rFonts w:ascii="Times New Roman" w:hAnsi="Times New Roman" w:eastAsia="宋体" w:cs="Times New Roman"/>
                <w:snapToGrid w:val="0"/>
                <w:kern w:val="0"/>
                <w:szCs w:val="25"/>
              </w:rPr>
              <w:t>“</w:t>
            </w:r>
            <w:r>
              <w:rPr>
                <w:rFonts w:hint="eastAsia" w:ascii="Times New Roman" w:hAnsi="Times New Roman" w:eastAsia="宋体" w:cs="Times New Roman"/>
                <w:snapToGrid w:val="0"/>
                <w:kern w:val="0"/>
                <w:szCs w:val="25"/>
              </w:rPr>
              <w:t>三线一单</w:t>
            </w:r>
            <w:r>
              <w:rPr>
                <w:rFonts w:ascii="Times New Roman" w:hAnsi="Times New Roman" w:eastAsia="宋体" w:cs="Times New Roman"/>
                <w:snapToGrid w:val="0"/>
                <w:kern w:val="0"/>
                <w:szCs w:val="25"/>
              </w:rPr>
              <w:t>”</w:t>
            </w:r>
            <w:r>
              <w:rPr>
                <w:rFonts w:hint="eastAsia" w:ascii="Times New Roman" w:hAnsi="Times New Roman" w:eastAsia="宋体" w:cs="Times New Roman"/>
                <w:snapToGrid w:val="0"/>
                <w:kern w:val="0"/>
                <w:szCs w:val="25"/>
              </w:rPr>
              <w:t>要求以及</w:t>
            </w:r>
            <w:r>
              <w:rPr>
                <w:rFonts w:ascii="Times New Roman" w:hAnsi="Times New Roman" w:eastAsia="宋体" w:cs="Times New Roman"/>
                <w:snapToGrid w:val="0"/>
                <w:kern w:val="0"/>
                <w:szCs w:val="25"/>
              </w:rPr>
              <w:t>《秦皇岛市人民政府关于秦皇岛市“三线一单”生态环境分区管控的实施意见》（秦政字</w:t>
            </w:r>
            <w:r>
              <w:rPr>
                <w:rFonts w:hint="eastAsia" w:ascii="Times New Roman" w:hAnsi="Times New Roman" w:eastAsia="宋体" w:cs="Times New Roman"/>
                <w:snapToGrid w:val="0"/>
                <w:kern w:val="0"/>
                <w:szCs w:val="25"/>
              </w:rPr>
              <w:t>[2021]6号</w:t>
            </w:r>
            <w:r>
              <w:rPr>
                <w:rFonts w:ascii="Times New Roman" w:hAnsi="Times New Roman" w:eastAsia="宋体" w:cs="Times New Roman"/>
                <w:snapToGrid w:val="0"/>
                <w:kern w:val="0"/>
                <w:szCs w:val="25"/>
              </w:rPr>
              <w:t>）进行判定。生态红线图见附图</w:t>
            </w:r>
            <w:r>
              <w:rPr>
                <w:rFonts w:hint="eastAsia" w:ascii="Times New Roman" w:hAnsi="Times New Roman" w:eastAsia="宋体" w:cs="Times New Roman"/>
                <w:snapToGrid w:val="0"/>
                <w:kern w:val="0"/>
                <w:szCs w:val="25"/>
              </w:rPr>
              <w:t>4，秦皇岛市环境管控单元分布图见附图5。</w:t>
            </w:r>
          </w:p>
          <w:p>
            <w:pPr>
              <w:autoSpaceDE w:val="0"/>
              <w:autoSpaceDN w:val="0"/>
              <w:adjustRightInd w:val="0"/>
              <w:snapToGrid w:val="0"/>
              <w:ind w:left="360"/>
              <w:jc w:val="center"/>
              <w:rPr>
                <w:rFonts w:ascii="宋体" w:hAnsi="宋体" w:eastAsia="宋体" w:cs="宋体"/>
                <w:b/>
                <w:kern w:val="0"/>
                <w:szCs w:val="21"/>
              </w:rPr>
            </w:pPr>
            <w:r>
              <w:rPr>
                <w:rFonts w:hint="eastAsia" w:ascii="宋体" w:hAnsi="宋体" w:eastAsia="宋体" w:cs="宋体"/>
                <w:b/>
                <w:kern w:val="0"/>
                <w:szCs w:val="21"/>
              </w:rPr>
              <w:t>表 1</w:t>
            </w:r>
            <w:r>
              <w:rPr>
                <w:rFonts w:ascii="宋体" w:hAnsi="宋体" w:eastAsia="宋体" w:cs="宋体"/>
                <w:b/>
                <w:kern w:val="0"/>
                <w:szCs w:val="21"/>
              </w:rPr>
              <w:t>“</w:t>
            </w:r>
            <w:r>
              <w:rPr>
                <w:rFonts w:hint="eastAsia" w:ascii="宋体" w:hAnsi="宋体" w:eastAsia="宋体" w:cs="宋体"/>
                <w:b/>
                <w:kern w:val="0"/>
                <w:szCs w:val="21"/>
              </w:rPr>
              <w:t>三线一单</w:t>
            </w:r>
            <w:r>
              <w:rPr>
                <w:rFonts w:ascii="宋体" w:hAnsi="宋体" w:eastAsia="宋体" w:cs="宋体"/>
                <w:b/>
                <w:kern w:val="0"/>
                <w:szCs w:val="21"/>
              </w:rPr>
              <w:t>”</w:t>
            </w:r>
            <w:r>
              <w:rPr>
                <w:rFonts w:hint="eastAsia" w:ascii="宋体" w:hAnsi="宋体" w:eastAsia="宋体" w:cs="宋体"/>
                <w:b/>
                <w:kern w:val="0"/>
                <w:szCs w:val="21"/>
              </w:rPr>
              <w:t>符合性分析一览表</w:t>
            </w: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1"/>
              <w:gridCol w:w="2447"/>
              <w:gridCol w:w="2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807" w:type="pct"/>
                  <w:vAlign w:val="center"/>
                </w:tcPr>
                <w:p>
                  <w:pPr>
                    <w:autoSpaceDE w:val="0"/>
                    <w:autoSpaceDN w:val="0"/>
                    <w:adjustRightInd w:val="0"/>
                    <w:snapToGrid w:val="0"/>
                    <w:jc w:val="center"/>
                    <w:rPr>
                      <w:rFonts w:ascii="宋体" w:hAnsi="宋体" w:eastAsia="宋体" w:cs="宋体"/>
                      <w:kern w:val="0"/>
                      <w:szCs w:val="21"/>
                    </w:rPr>
                  </w:pPr>
                  <w:r>
                    <w:rPr>
                      <w:rFonts w:hint="eastAsia" w:ascii="宋体" w:hAnsi="宋体" w:eastAsia="宋体" w:cs="宋体"/>
                      <w:kern w:val="0"/>
                      <w:szCs w:val="21"/>
                    </w:rPr>
                    <w:t>内容</w:t>
                  </w:r>
                </w:p>
              </w:tc>
              <w:tc>
                <w:tcPr>
                  <w:tcW w:w="1954" w:type="pct"/>
                  <w:vAlign w:val="center"/>
                </w:tcPr>
                <w:p>
                  <w:pPr>
                    <w:autoSpaceDE w:val="0"/>
                    <w:autoSpaceDN w:val="0"/>
                    <w:adjustRightInd w:val="0"/>
                    <w:snapToGrid w:val="0"/>
                    <w:jc w:val="center"/>
                    <w:rPr>
                      <w:rFonts w:ascii="宋体" w:hAnsi="宋体" w:eastAsia="宋体" w:cs="宋体"/>
                      <w:kern w:val="0"/>
                      <w:szCs w:val="21"/>
                    </w:rPr>
                  </w:pPr>
                  <w:r>
                    <w:rPr>
                      <w:rFonts w:hint="eastAsia" w:ascii="宋体" w:hAnsi="宋体" w:eastAsia="宋体" w:cs="宋体"/>
                      <w:kern w:val="0"/>
                      <w:szCs w:val="21"/>
                    </w:rPr>
                    <w:t>文件</w:t>
                  </w:r>
                  <w:r>
                    <w:rPr>
                      <w:rFonts w:ascii="宋体" w:hAnsi="宋体" w:eastAsia="宋体" w:cs="宋体"/>
                      <w:kern w:val="0"/>
                      <w:szCs w:val="21"/>
                    </w:rPr>
                    <w:t>要求</w:t>
                  </w:r>
                </w:p>
              </w:tc>
              <w:tc>
                <w:tcPr>
                  <w:tcW w:w="2239" w:type="pct"/>
                  <w:vAlign w:val="center"/>
                </w:tcPr>
                <w:p>
                  <w:pPr>
                    <w:autoSpaceDE w:val="0"/>
                    <w:autoSpaceDN w:val="0"/>
                    <w:adjustRightInd w:val="0"/>
                    <w:snapToGrid w:val="0"/>
                    <w:jc w:val="center"/>
                    <w:rPr>
                      <w:rFonts w:ascii="宋体" w:hAnsi="宋体" w:eastAsia="宋体" w:cs="宋体"/>
                      <w:kern w:val="0"/>
                      <w:szCs w:val="21"/>
                    </w:rPr>
                  </w:pPr>
                  <w:r>
                    <w:rPr>
                      <w:rFonts w:hint="eastAsia" w:ascii="宋体" w:hAnsi="宋体" w:eastAsia="宋体" w:cs="宋体"/>
                      <w:kern w:val="0"/>
                      <w:szCs w:val="21"/>
                    </w:rPr>
                    <w:t>符合</w:t>
                  </w:r>
                  <w:r>
                    <w:rPr>
                      <w:rFonts w:ascii="宋体" w:hAnsi="宋体" w:eastAsia="宋体" w:cs="宋体"/>
                      <w:kern w:val="0"/>
                      <w:szCs w:val="21"/>
                    </w:rPr>
                    <w:t>性要求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7" w:type="pct"/>
                  <w:vAlign w:val="center"/>
                </w:tcPr>
                <w:p>
                  <w:pPr>
                    <w:autoSpaceDE w:val="0"/>
                    <w:autoSpaceDN w:val="0"/>
                    <w:adjustRightInd w:val="0"/>
                    <w:snapToGrid w:val="0"/>
                    <w:jc w:val="left"/>
                    <w:rPr>
                      <w:rFonts w:ascii="宋体" w:hAnsi="宋体" w:eastAsia="宋体" w:cs="宋体"/>
                      <w:kern w:val="0"/>
                      <w:szCs w:val="21"/>
                    </w:rPr>
                  </w:pPr>
                  <w:r>
                    <w:rPr>
                      <w:rFonts w:hint="eastAsia" w:ascii="宋体" w:hAnsi="宋体" w:eastAsia="宋体" w:cs="宋体"/>
                      <w:kern w:val="0"/>
                      <w:szCs w:val="21"/>
                    </w:rPr>
                    <w:t>生态</w:t>
                  </w:r>
                  <w:r>
                    <w:rPr>
                      <w:rFonts w:ascii="宋体" w:hAnsi="宋体" w:eastAsia="宋体" w:cs="宋体"/>
                      <w:kern w:val="0"/>
                      <w:szCs w:val="21"/>
                    </w:rPr>
                    <w:t>保护红线</w:t>
                  </w:r>
                </w:p>
              </w:tc>
              <w:tc>
                <w:tcPr>
                  <w:tcW w:w="1954" w:type="pct"/>
                  <w:vAlign w:val="center"/>
                </w:tcPr>
                <w:p>
                  <w:pPr>
                    <w:autoSpaceDE w:val="0"/>
                    <w:autoSpaceDN w:val="0"/>
                    <w:adjustRightInd w:val="0"/>
                    <w:snapToGrid w:val="0"/>
                    <w:jc w:val="left"/>
                    <w:rPr>
                      <w:rFonts w:ascii="宋体" w:hAnsi="宋体" w:eastAsia="宋体" w:cs="宋体"/>
                      <w:kern w:val="0"/>
                      <w:szCs w:val="21"/>
                    </w:rPr>
                  </w:pPr>
                  <w:r>
                    <w:rPr>
                      <w:rFonts w:hint="eastAsia" w:ascii="宋体" w:hAnsi="宋体" w:eastAsia="宋体" w:cs="宋体"/>
                      <w:kern w:val="0"/>
                      <w:szCs w:val="21"/>
                    </w:rPr>
                    <w:t>生态</w:t>
                  </w:r>
                  <w:r>
                    <w:rPr>
                      <w:rFonts w:ascii="宋体" w:hAnsi="宋体" w:eastAsia="宋体" w:cs="宋体"/>
                      <w:kern w:val="0"/>
                      <w:szCs w:val="21"/>
                    </w:rPr>
                    <w:t>保护红线是生态空间范围内具有特殊重要生态功能必须实行强制性严格保护的区域</w:t>
                  </w:r>
                  <w:r>
                    <w:rPr>
                      <w:rFonts w:hint="eastAsia" w:ascii="宋体" w:hAnsi="宋体" w:eastAsia="宋体" w:cs="宋体"/>
                      <w:kern w:val="0"/>
                      <w:szCs w:val="21"/>
                    </w:rPr>
                    <w:t>。</w:t>
                  </w:r>
                  <w:r>
                    <w:rPr>
                      <w:rFonts w:ascii="宋体" w:hAnsi="宋体" w:eastAsia="宋体" w:cs="宋体"/>
                      <w:kern w:val="0"/>
                      <w:szCs w:val="21"/>
                    </w:rPr>
                    <w:t>在</w:t>
                  </w:r>
                  <w:r>
                    <w:rPr>
                      <w:rFonts w:hint="eastAsia" w:ascii="宋体" w:hAnsi="宋体" w:eastAsia="宋体" w:cs="宋体"/>
                      <w:kern w:val="0"/>
                      <w:szCs w:val="21"/>
                    </w:rPr>
                    <w:t>生态</w:t>
                  </w:r>
                  <w:r>
                    <w:rPr>
                      <w:rFonts w:ascii="宋体" w:hAnsi="宋体" w:eastAsia="宋体" w:cs="宋体"/>
                      <w:kern w:val="0"/>
                      <w:szCs w:val="21"/>
                    </w:rPr>
                    <w:t>保护红线范围内，</w:t>
                  </w:r>
                  <w:r>
                    <w:rPr>
                      <w:rFonts w:hint="eastAsia" w:ascii="宋体" w:hAnsi="宋体" w:eastAsia="宋体" w:cs="宋体"/>
                      <w:kern w:val="0"/>
                      <w:szCs w:val="21"/>
                    </w:rPr>
                    <w:t>严格</w:t>
                  </w:r>
                  <w:r>
                    <w:rPr>
                      <w:rFonts w:ascii="宋体" w:hAnsi="宋体" w:eastAsia="宋体" w:cs="宋体"/>
                      <w:kern w:val="0"/>
                      <w:szCs w:val="21"/>
                    </w:rPr>
                    <w:t>控制各类开发建设活动</w:t>
                  </w:r>
                  <w:r>
                    <w:rPr>
                      <w:rFonts w:hint="eastAsia" w:ascii="宋体" w:hAnsi="宋体" w:eastAsia="宋体" w:cs="宋体"/>
                      <w:kern w:val="0"/>
                      <w:szCs w:val="21"/>
                    </w:rPr>
                    <w:t>，</w:t>
                  </w:r>
                  <w:r>
                    <w:rPr>
                      <w:rFonts w:ascii="宋体" w:hAnsi="宋体" w:eastAsia="宋体" w:cs="宋体"/>
                      <w:kern w:val="0"/>
                      <w:szCs w:val="21"/>
                    </w:rPr>
                    <w:t>依法不予</w:t>
                  </w:r>
                  <w:r>
                    <w:rPr>
                      <w:rFonts w:hint="eastAsia" w:ascii="宋体" w:hAnsi="宋体" w:eastAsia="宋体" w:cs="宋体"/>
                      <w:kern w:val="0"/>
                      <w:szCs w:val="21"/>
                    </w:rPr>
                    <w:t>审批</w:t>
                  </w:r>
                  <w:r>
                    <w:rPr>
                      <w:rFonts w:ascii="宋体" w:hAnsi="宋体" w:eastAsia="宋体" w:cs="宋体"/>
                      <w:kern w:val="0"/>
                      <w:szCs w:val="21"/>
                    </w:rPr>
                    <w:t>新建</w:t>
                  </w:r>
                  <w:r>
                    <w:rPr>
                      <w:rFonts w:hint="eastAsia" w:ascii="宋体" w:hAnsi="宋体" w:eastAsia="宋体" w:cs="宋体"/>
                      <w:kern w:val="0"/>
                      <w:szCs w:val="21"/>
                    </w:rPr>
                    <w:t>工业项目</w:t>
                  </w:r>
                  <w:r>
                    <w:rPr>
                      <w:rFonts w:ascii="宋体" w:hAnsi="宋体" w:eastAsia="宋体" w:cs="宋体"/>
                      <w:kern w:val="0"/>
                      <w:szCs w:val="21"/>
                    </w:rPr>
                    <w:t>和矿产开发</w:t>
                  </w:r>
                  <w:r>
                    <w:rPr>
                      <w:rFonts w:hint="eastAsia" w:ascii="宋体" w:hAnsi="宋体" w:eastAsia="宋体" w:cs="宋体"/>
                      <w:kern w:val="0"/>
                      <w:szCs w:val="21"/>
                    </w:rPr>
                    <w:t>项目</w:t>
                  </w:r>
                  <w:r>
                    <w:rPr>
                      <w:rFonts w:ascii="宋体" w:hAnsi="宋体" w:eastAsia="宋体" w:cs="宋体"/>
                      <w:kern w:val="0"/>
                      <w:szCs w:val="21"/>
                    </w:rPr>
                    <w:t>的环评文件。</w:t>
                  </w:r>
                </w:p>
                <w:p>
                  <w:pPr>
                    <w:autoSpaceDE w:val="0"/>
                    <w:autoSpaceDN w:val="0"/>
                    <w:adjustRightInd w:val="0"/>
                    <w:jc w:val="left"/>
                    <w:rPr>
                      <w:rFonts w:ascii="宋体" w:hAnsi="Times New Roman" w:eastAsia="宋体" w:cs="宋体"/>
                      <w:kern w:val="0"/>
                      <w:szCs w:val="21"/>
                    </w:rPr>
                  </w:pPr>
                  <w:r>
                    <w:rPr>
                      <w:rFonts w:hint="eastAsia" w:ascii="宋体" w:hAnsi="宋体" w:eastAsia="宋体" w:cs="宋体"/>
                      <w:kern w:val="0"/>
                      <w:szCs w:val="21"/>
                    </w:rPr>
                    <w:t>秦皇岛市：</w:t>
                  </w:r>
                  <w:r>
                    <w:rPr>
                      <w:rFonts w:hint="eastAsia" w:ascii="宋体" w:hAnsi="Times New Roman" w:eastAsia="宋体" w:cs="宋体"/>
                      <w:kern w:val="0"/>
                      <w:szCs w:val="21"/>
                    </w:rPr>
                    <w:t>严禁不符合主体功能定位的各类开发建设活动，生态保护红线内、自然保护地核心保护区原则上禁止人为活动，其他区域严格禁止开发性、生产建设活动，严禁任意改变用途，确保生态功能不降低、面积不减少、性质不改变。</w:t>
                  </w:r>
                </w:p>
              </w:tc>
              <w:tc>
                <w:tcPr>
                  <w:tcW w:w="2239" w:type="pct"/>
                  <w:vAlign w:val="center"/>
                </w:tcPr>
                <w:p>
                  <w:pPr>
                    <w:autoSpaceDE w:val="0"/>
                    <w:autoSpaceDN w:val="0"/>
                    <w:adjustRightInd w:val="0"/>
                    <w:snapToGrid w:val="0"/>
                    <w:jc w:val="left"/>
                    <w:rPr>
                      <w:rFonts w:ascii="宋体" w:hAnsi="宋体" w:eastAsia="宋体" w:cs="宋体"/>
                      <w:kern w:val="0"/>
                      <w:szCs w:val="21"/>
                    </w:rPr>
                  </w:pPr>
                  <w:r>
                    <w:rPr>
                      <w:rFonts w:hint="eastAsia" w:ascii="宋体" w:hAnsi="宋体" w:eastAsia="宋体" w:cs="宋体"/>
                      <w:kern w:val="0"/>
                      <w:szCs w:val="21"/>
                    </w:rPr>
                    <w:t>本项目位于</w:t>
                  </w:r>
                  <w:r>
                    <w:rPr>
                      <w:rFonts w:hint="eastAsia" w:ascii="Times New Roman" w:hAnsi="Times New Roman" w:eastAsia="宋体" w:cs="Times New Roman"/>
                      <w:snapToGrid w:val="0"/>
                      <w:kern w:val="0"/>
                      <w:szCs w:val="25"/>
                    </w:rPr>
                    <w:t>河北省秦皇岛市抚宁区留守营镇毛家营村</w:t>
                  </w:r>
                  <w:r>
                    <w:rPr>
                      <w:rFonts w:hint="eastAsia" w:ascii="宋体" w:hAnsi="宋体" w:eastAsia="宋体" w:cs="宋体"/>
                      <w:kern w:val="0"/>
                      <w:szCs w:val="21"/>
                    </w:rPr>
                    <w:t>，该地区周围无自然保护区、风景名胜区、饮用水水源保护区等生态保护目标，不在生态红线范围内，符合生态保护红线要求。本项目用地不在上述禁止、限制建设区内。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7" w:type="pct"/>
                  <w:vAlign w:val="center"/>
                </w:tcPr>
                <w:p>
                  <w:pPr>
                    <w:autoSpaceDE w:val="0"/>
                    <w:autoSpaceDN w:val="0"/>
                    <w:adjustRightInd w:val="0"/>
                    <w:snapToGrid w:val="0"/>
                    <w:jc w:val="left"/>
                    <w:rPr>
                      <w:rFonts w:ascii="Times New Roman" w:hAnsi="Times New Roman" w:eastAsia="宋体" w:cs="Times New Roman"/>
                      <w:kern w:val="0"/>
                      <w:szCs w:val="21"/>
                    </w:rPr>
                  </w:pPr>
                  <w:r>
                    <w:rPr>
                      <w:rFonts w:ascii="Times New Roman" w:hAnsi="宋体" w:eastAsia="宋体" w:cs="Times New Roman"/>
                      <w:kern w:val="0"/>
                      <w:szCs w:val="21"/>
                    </w:rPr>
                    <w:t>环境质量底线</w:t>
                  </w:r>
                </w:p>
              </w:tc>
              <w:tc>
                <w:tcPr>
                  <w:tcW w:w="1954" w:type="pct"/>
                  <w:vAlign w:val="center"/>
                </w:tcPr>
                <w:p>
                  <w:pPr>
                    <w:autoSpaceDE w:val="0"/>
                    <w:autoSpaceDN w:val="0"/>
                    <w:adjustRightInd w:val="0"/>
                    <w:snapToGrid w:val="0"/>
                    <w:jc w:val="left"/>
                    <w:rPr>
                      <w:rFonts w:ascii="Times New Roman" w:hAnsi="宋体" w:eastAsia="宋体" w:cs="Times New Roman"/>
                      <w:kern w:val="0"/>
                      <w:szCs w:val="21"/>
                    </w:rPr>
                  </w:pPr>
                  <w:r>
                    <w:rPr>
                      <w:rFonts w:ascii="Times New Roman" w:hAnsi="宋体" w:eastAsia="宋体" w:cs="Times New Roman"/>
                      <w:kern w:val="0"/>
                      <w:szCs w:val="21"/>
                    </w:rPr>
                    <w:t>环境质量底线是国家和地方设置的大气、水和土壤环境质量目标，也是改善环境质量的基准线。项目环评应对照区域环境质量目标，深入分析预测项目建设对环境质量的影响，强化污染防治措施和污染物排放控制要求</w:t>
                  </w:r>
                  <w:r>
                    <w:rPr>
                      <w:rFonts w:hint="eastAsia" w:ascii="Times New Roman" w:hAnsi="宋体" w:eastAsia="宋体" w:cs="Times New Roman"/>
                      <w:kern w:val="0"/>
                      <w:szCs w:val="21"/>
                    </w:rPr>
                    <w:t>。</w:t>
                  </w:r>
                </w:p>
              </w:tc>
              <w:tc>
                <w:tcPr>
                  <w:tcW w:w="2239" w:type="pct"/>
                  <w:vAlign w:val="center"/>
                </w:tcPr>
                <w:p>
                  <w:pPr>
                    <w:autoSpaceDE w:val="0"/>
                    <w:autoSpaceDN w:val="0"/>
                    <w:adjustRightInd w:val="0"/>
                    <w:snapToGrid w:val="0"/>
                    <w:jc w:val="left"/>
                    <w:rPr>
                      <w:rFonts w:ascii="Times New Roman" w:hAnsi="宋体" w:eastAsia="宋体" w:cs="Times New Roman"/>
                      <w:kern w:val="0"/>
                      <w:szCs w:val="21"/>
                    </w:rPr>
                  </w:pPr>
                  <w:r>
                    <w:rPr>
                      <w:rFonts w:ascii="Times New Roman" w:hAnsi="宋体" w:eastAsia="宋体" w:cs="Times New Roman"/>
                      <w:kern w:val="0"/>
                      <w:szCs w:val="21"/>
                    </w:rPr>
                    <w:t>根据秦皇岛市</w:t>
                  </w:r>
                  <w:r>
                    <w:rPr>
                      <w:rFonts w:hint="eastAsia" w:ascii="Times New Roman" w:hAnsi="宋体" w:eastAsia="宋体" w:cs="Times New Roman"/>
                      <w:kern w:val="0"/>
                      <w:szCs w:val="21"/>
                    </w:rPr>
                    <w:t>2021年秦皇岛市生态环境局官网公布的环境质量报告数据，</w:t>
                  </w:r>
                  <w:r>
                    <w:rPr>
                      <w:rFonts w:ascii="Times New Roman" w:hAnsi="宋体" w:eastAsia="宋体" w:cs="Times New Roman"/>
                      <w:kern w:val="0"/>
                      <w:szCs w:val="21"/>
                    </w:rPr>
                    <w:t>本项目所在区域环境空气质量为不达标区，项目所在区域声环境质量、水环境质量能够满足相应的标准要求。本项目仅产生少量臭气，噪声等采取相应措施达标排放，固体废物妥善处理后，对周围环境的影响不大，符合环境质量底线要求。</w:t>
                  </w:r>
                </w:p>
                <w:p>
                  <w:pPr>
                    <w:autoSpaceDE w:val="0"/>
                    <w:autoSpaceDN w:val="0"/>
                    <w:adjustRightInd w:val="0"/>
                    <w:snapToGrid w:val="0"/>
                    <w:jc w:val="left"/>
                    <w:rPr>
                      <w:rFonts w:ascii="Times New Roman" w:hAnsi="Times New Roman" w:eastAsia="宋体" w:cs="Times New Roman"/>
                      <w:kern w:val="0"/>
                      <w:szCs w:val="21"/>
                    </w:rPr>
                  </w:pPr>
                  <w:r>
                    <w:rPr>
                      <w:rFonts w:hint="eastAsia" w:ascii="Times New Roman" w:hAnsi="宋体" w:eastAsia="宋体" w:cs="Times New Roman"/>
                      <w:kern w:val="0"/>
                      <w:szCs w:val="21"/>
                    </w:rPr>
                    <w:t>本项目无废水外排。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7" w:type="pct"/>
                  <w:vAlign w:val="center"/>
                </w:tcPr>
                <w:p>
                  <w:pPr>
                    <w:autoSpaceDE w:val="0"/>
                    <w:autoSpaceDN w:val="0"/>
                    <w:adjustRightInd w:val="0"/>
                    <w:snapToGrid w:val="0"/>
                    <w:jc w:val="left"/>
                    <w:rPr>
                      <w:rFonts w:ascii="Times New Roman" w:hAnsi="Times New Roman" w:eastAsia="宋体" w:cs="Times New Roman"/>
                      <w:kern w:val="0"/>
                      <w:szCs w:val="21"/>
                    </w:rPr>
                  </w:pPr>
                  <w:r>
                    <w:rPr>
                      <w:rFonts w:ascii="Times New Roman" w:hAnsi="宋体" w:eastAsia="宋体" w:cs="Times New Roman"/>
                      <w:kern w:val="0"/>
                      <w:szCs w:val="21"/>
                    </w:rPr>
                    <w:t>资源利用上线</w:t>
                  </w:r>
                </w:p>
              </w:tc>
              <w:tc>
                <w:tcPr>
                  <w:tcW w:w="1954" w:type="pct"/>
                  <w:vAlign w:val="center"/>
                </w:tcPr>
                <w:p>
                  <w:pPr>
                    <w:autoSpaceDE w:val="0"/>
                    <w:autoSpaceDN w:val="0"/>
                    <w:adjustRightInd w:val="0"/>
                    <w:snapToGrid w:val="0"/>
                    <w:jc w:val="left"/>
                    <w:rPr>
                      <w:rFonts w:ascii="Times New Roman" w:hAnsi="宋体" w:eastAsia="宋体" w:cs="Times New Roman"/>
                      <w:kern w:val="0"/>
                      <w:szCs w:val="21"/>
                    </w:rPr>
                  </w:pPr>
                  <w:r>
                    <w:rPr>
                      <w:rFonts w:ascii="Times New Roman" w:hAnsi="宋体" w:eastAsia="宋体" w:cs="Times New Roman"/>
                      <w:kern w:val="0"/>
                      <w:szCs w:val="21"/>
                    </w:rPr>
                    <w:t>资源利用上线是各地区能源、水、土地等资源能耗不得突破的</w:t>
                  </w:r>
                  <w:r>
                    <w:rPr>
                      <w:rFonts w:ascii="Times New Roman" w:hAnsi="Times New Roman" w:eastAsia="宋体" w:cs="Times New Roman"/>
                      <w:kern w:val="0"/>
                      <w:szCs w:val="21"/>
                    </w:rPr>
                    <w:t>“</w:t>
                  </w:r>
                  <w:r>
                    <w:rPr>
                      <w:rFonts w:ascii="Times New Roman" w:hAnsi="宋体" w:eastAsia="宋体" w:cs="Times New Roman"/>
                      <w:kern w:val="0"/>
                      <w:szCs w:val="21"/>
                    </w:rPr>
                    <w:t>天花板</w:t>
                  </w:r>
                  <w:r>
                    <w:rPr>
                      <w:rFonts w:ascii="Times New Roman" w:hAnsi="Times New Roman" w:eastAsia="宋体" w:cs="Times New Roman"/>
                      <w:kern w:val="0"/>
                      <w:szCs w:val="21"/>
                    </w:rPr>
                    <w:t>”</w:t>
                  </w:r>
                  <w:r>
                    <w:rPr>
                      <w:rFonts w:ascii="Times New Roman" w:hAnsi="宋体" w:eastAsia="宋体" w:cs="Times New Roman"/>
                      <w:kern w:val="0"/>
                      <w:szCs w:val="21"/>
                    </w:rPr>
                    <w:t>。相关规划环评应根据有关资源利用上线，对规划实施以及规划内项目的资源开发利用，区分不同行业，从能源资源开发等量或减量替代、开发方式和规模控制、利用效率和保护措施等方面提出建议，为规划编制和审批决策提供重要依据。</w:t>
                  </w:r>
                </w:p>
                <w:p>
                  <w:pPr>
                    <w:autoSpaceDE w:val="0"/>
                    <w:autoSpaceDN w:val="0"/>
                    <w:adjustRightInd w:val="0"/>
                    <w:snapToGrid w:val="0"/>
                    <w:jc w:val="left"/>
                    <w:rPr>
                      <w:rFonts w:ascii="Times New Roman" w:hAnsi="宋体" w:eastAsia="宋体" w:cs="Times New Roman"/>
                      <w:kern w:val="0"/>
                      <w:szCs w:val="21"/>
                    </w:rPr>
                  </w:pPr>
                  <w:r>
                    <w:rPr>
                      <w:rFonts w:hint="eastAsia" w:ascii="Times New Roman" w:hAnsi="宋体" w:eastAsia="宋体" w:cs="Times New Roman"/>
                      <w:kern w:val="0"/>
                      <w:szCs w:val="21"/>
                    </w:rPr>
                    <w:t>秦皇岛市要求：</w:t>
                  </w:r>
                  <w:r>
                    <w:rPr>
                      <w:rFonts w:ascii="Times New Roman" w:hAnsi="宋体" w:eastAsia="宋体" w:cs="Times New Roman"/>
                      <w:kern w:val="0"/>
                      <w:szCs w:val="21"/>
                    </w:rPr>
                    <w:t xml:space="preserve">1.2025 </w:t>
                  </w:r>
                  <w:r>
                    <w:rPr>
                      <w:rFonts w:hint="eastAsia" w:ascii="Times New Roman" w:hAnsi="宋体" w:eastAsia="宋体" w:cs="Times New Roman"/>
                      <w:kern w:val="0"/>
                      <w:szCs w:val="21"/>
                    </w:rPr>
                    <w:t>年秦皇岛市用水总量控制在</w:t>
                  </w:r>
                  <w:r>
                    <w:rPr>
                      <w:rFonts w:ascii="Times New Roman" w:hAnsi="宋体" w:eastAsia="宋体" w:cs="Times New Roman"/>
                      <w:kern w:val="0"/>
                      <w:szCs w:val="21"/>
                    </w:rPr>
                    <w:t xml:space="preserve">9.06 </w:t>
                  </w:r>
                  <w:r>
                    <w:rPr>
                      <w:rFonts w:hint="eastAsia" w:ascii="Times New Roman" w:hAnsi="宋体" w:eastAsia="宋体" w:cs="Times New Roman"/>
                      <w:kern w:val="0"/>
                      <w:szCs w:val="21"/>
                    </w:rPr>
                    <w:t>亿立方米以内，能源利用总量控制在</w:t>
                  </w:r>
                  <w:r>
                    <w:rPr>
                      <w:rFonts w:ascii="Times New Roman" w:hAnsi="宋体" w:eastAsia="宋体" w:cs="Times New Roman"/>
                      <w:kern w:val="0"/>
                      <w:szCs w:val="21"/>
                    </w:rPr>
                    <w:t xml:space="preserve">1853 </w:t>
                  </w:r>
                  <w:r>
                    <w:rPr>
                      <w:rFonts w:hint="eastAsia" w:ascii="Times New Roman" w:hAnsi="宋体" w:eastAsia="宋体" w:cs="Times New Roman"/>
                      <w:kern w:val="0"/>
                      <w:szCs w:val="21"/>
                    </w:rPr>
                    <w:t>万吨标准煤，单位</w:t>
                  </w:r>
                </w:p>
                <w:p>
                  <w:pPr>
                    <w:autoSpaceDE w:val="0"/>
                    <w:autoSpaceDN w:val="0"/>
                    <w:adjustRightInd w:val="0"/>
                    <w:snapToGrid w:val="0"/>
                    <w:jc w:val="left"/>
                    <w:rPr>
                      <w:rFonts w:ascii="Times New Roman" w:hAnsi="宋体" w:eastAsia="宋体" w:cs="Times New Roman"/>
                      <w:kern w:val="0"/>
                      <w:szCs w:val="21"/>
                    </w:rPr>
                  </w:pPr>
                  <w:r>
                    <w:rPr>
                      <w:rFonts w:hint="eastAsia" w:ascii="Times New Roman" w:hAnsi="宋体" w:eastAsia="宋体" w:cs="Times New Roman"/>
                      <w:kern w:val="0"/>
                      <w:szCs w:val="21"/>
                    </w:rPr>
                    <w:t>煤炭总量控制在</w:t>
                  </w:r>
                  <w:r>
                    <w:rPr>
                      <w:rFonts w:ascii="Times New Roman" w:hAnsi="宋体" w:eastAsia="宋体" w:cs="Times New Roman"/>
                      <w:kern w:val="0"/>
                      <w:szCs w:val="21"/>
                    </w:rPr>
                    <w:t xml:space="preserve">1417 </w:t>
                  </w:r>
                  <w:r>
                    <w:rPr>
                      <w:rFonts w:hint="eastAsia" w:ascii="Times New Roman" w:hAnsi="宋体" w:eastAsia="宋体" w:cs="Times New Roman"/>
                      <w:kern w:val="0"/>
                      <w:szCs w:val="21"/>
                    </w:rPr>
                    <w:t>万吨（实物量）。</w:t>
                  </w:r>
                </w:p>
                <w:p>
                  <w:pPr>
                    <w:autoSpaceDE w:val="0"/>
                    <w:autoSpaceDN w:val="0"/>
                    <w:adjustRightInd w:val="0"/>
                    <w:snapToGrid w:val="0"/>
                    <w:jc w:val="left"/>
                    <w:rPr>
                      <w:rFonts w:ascii="Times New Roman" w:hAnsi="宋体" w:eastAsia="宋体" w:cs="Times New Roman"/>
                      <w:kern w:val="0"/>
                      <w:szCs w:val="21"/>
                    </w:rPr>
                  </w:pPr>
                  <w:r>
                    <w:rPr>
                      <w:rFonts w:ascii="Times New Roman" w:hAnsi="宋体" w:eastAsia="宋体" w:cs="Times New Roman"/>
                      <w:kern w:val="0"/>
                      <w:szCs w:val="21"/>
                    </w:rPr>
                    <w:t xml:space="preserve">2.2035 </w:t>
                  </w:r>
                  <w:r>
                    <w:rPr>
                      <w:rFonts w:hint="eastAsia" w:ascii="Times New Roman" w:hAnsi="宋体" w:eastAsia="宋体" w:cs="Times New Roman"/>
                      <w:kern w:val="0"/>
                      <w:szCs w:val="21"/>
                    </w:rPr>
                    <w:t>年秦皇岛市用水总量控制在</w:t>
                  </w:r>
                  <w:r>
                    <w:rPr>
                      <w:rFonts w:ascii="Times New Roman" w:hAnsi="宋体" w:eastAsia="宋体" w:cs="Times New Roman"/>
                      <w:kern w:val="0"/>
                      <w:szCs w:val="21"/>
                    </w:rPr>
                    <w:t xml:space="preserve">9.36 </w:t>
                  </w:r>
                  <w:r>
                    <w:rPr>
                      <w:rFonts w:hint="eastAsia" w:ascii="Times New Roman" w:hAnsi="宋体" w:eastAsia="宋体" w:cs="Times New Roman"/>
                      <w:kern w:val="0"/>
                      <w:szCs w:val="21"/>
                    </w:rPr>
                    <w:t>亿立方米以内，能源利用总量控制在</w:t>
                  </w:r>
                  <w:r>
                    <w:rPr>
                      <w:rFonts w:ascii="Times New Roman" w:hAnsi="宋体" w:eastAsia="宋体" w:cs="Times New Roman"/>
                      <w:kern w:val="0"/>
                      <w:szCs w:val="21"/>
                    </w:rPr>
                    <w:t xml:space="preserve">2259 </w:t>
                  </w:r>
                  <w:r>
                    <w:rPr>
                      <w:rFonts w:hint="eastAsia" w:ascii="Times New Roman" w:hAnsi="宋体" w:eastAsia="宋体" w:cs="Times New Roman"/>
                      <w:kern w:val="0"/>
                      <w:szCs w:val="21"/>
                    </w:rPr>
                    <w:t>万吨标准煤，煤炭总量控制在</w:t>
                  </w:r>
                  <w:r>
                    <w:rPr>
                      <w:rFonts w:ascii="Times New Roman" w:hAnsi="宋体" w:eastAsia="宋体" w:cs="Times New Roman"/>
                      <w:kern w:val="0"/>
                      <w:szCs w:val="21"/>
                    </w:rPr>
                    <w:t xml:space="preserve">1417 </w:t>
                  </w:r>
                  <w:r>
                    <w:rPr>
                      <w:rFonts w:hint="eastAsia" w:ascii="Times New Roman" w:hAnsi="宋体" w:eastAsia="宋体" w:cs="Times New Roman"/>
                      <w:kern w:val="0"/>
                      <w:szCs w:val="21"/>
                    </w:rPr>
                    <w:t>万吨（实物量）。</w:t>
                  </w:r>
                </w:p>
              </w:tc>
              <w:tc>
                <w:tcPr>
                  <w:tcW w:w="2239" w:type="pct"/>
                  <w:vAlign w:val="center"/>
                </w:tcPr>
                <w:p>
                  <w:pPr>
                    <w:autoSpaceDE w:val="0"/>
                    <w:autoSpaceDN w:val="0"/>
                    <w:adjustRightInd w:val="0"/>
                    <w:snapToGrid w:val="0"/>
                    <w:jc w:val="left"/>
                    <w:rPr>
                      <w:rFonts w:ascii="Times New Roman" w:hAnsi="Times New Roman" w:eastAsia="宋体" w:cs="Times New Roman"/>
                      <w:kern w:val="0"/>
                      <w:szCs w:val="21"/>
                    </w:rPr>
                  </w:pPr>
                  <w:r>
                    <w:rPr>
                      <w:rFonts w:ascii="Times New Roman" w:hAnsi="宋体" w:eastAsia="宋体" w:cs="Times New Roman"/>
                      <w:kern w:val="0"/>
                      <w:szCs w:val="21"/>
                    </w:rPr>
                    <w:t>①资源：本项目属于废塑料回收再生利用，提高了资源利用率。</w:t>
                  </w:r>
                </w:p>
                <w:p>
                  <w:pPr>
                    <w:autoSpaceDE w:val="0"/>
                    <w:autoSpaceDN w:val="0"/>
                    <w:adjustRightInd w:val="0"/>
                    <w:snapToGrid w:val="0"/>
                    <w:jc w:val="left"/>
                    <w:rPr>
                      <w:rFonts w:ascii="Times New Roman" w:hAnsi="Times New Roman" w:eastAsia="宋体" w:cs="Times New Roman"/>
                      <w:kern w:val="0"/>
                      <w:szCs w:val="21"/>
                    </w:rPr>
                  </w:pPr>
                  <w:r>
                    <w:rPr>
                      <w:rFonts w:ascii="Times New Roman" w:hAnsi="宋体" w:eastAsia="宋体" w:cs="Times New Roman"/>
                      <w:kern w:val="0"/>
                      <w:szCs w:val="21"/>
                    </w:rPr>
                    <w:t>②土地资源：项目租用</w:t>
                  </w:r>
                  <w:r>
                    <w:rPr>
                      <w:rFonts w:hint="eastAsia" w:ascii="Times New Roman" w:hAnsi="Times New Roman" w:eastAsia="宋体" w:cs="Times New Roman"/>
                      <w:snapToGrid w:val="0"/>
                      <w:kern w:val="0"/>
                      <w:szCs w:val="25"/>
                    </w:rPr>
                    <w:t>留守营镇毛家营村村民委员会渤海大修厂现有工业用地</w:t>
                  </w:r>
                  <w:r>
                    <w:rPr>
                      <w:rFonts w:ascii="Times New Roman" w:hAnsi="宋体" w:eastAsia="宋体" w:cs="Times New Roman"/>
                      <w:kern w:val="0"/>
                      <w:szCs w:val="21"/>
                    </w:rPr>
                    <w:t>，不新增工业用地。</w:t>
                  </w:r>
                </w:p>
                <w:p>
                  <w:pPr>
                    <w:autoSpaceDE w:val="0"/>
                    <w:autoSpaceDN w:val="0"/>
                    <w:adjustRightInd w:val="0"/>
                    <w:snapToGrid w:val="0"/>
                    <w:jc w:val="left"/>
                    <w:rPr>
                      <w:rFonts w:ascii="Times New Roman" w:hAnsi="Times New Roman" w:eastAsia="宋体" w:cs="Times New Roman"/>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7" w:type="pct"/>
                  <w:vAlign w:val="center"/>
                </w:tcPr>
                <w:p>
                  <w:pPr>
                    <w:autoSpaceDE w:val="0"/>
                    <w:autoSpaceDN w:val="0"/>
                    <w:adjustRightInd w:val="0"/>
                    <w:snapToGrid w:val="0"/>
                    <w:jc w:val="left"/>
                    <w:rPr>
                      <w:rFonts w:ascii="Times New Roman" w:hAnsi="Times New Roman" w:eastAsia="宋体" w:cs="Times New Roman"/>
                      <w:kern w:val="0"/>
                      <w:szCs w:val="21"/>
                    </w:rPr>
                  </w:pPr>
                  <w:r>
                    <w:rPr>
                      <w:rFonts w:ascii="Times New Roman" w:hAnsi="宋体" w:eastAsia="宋体" w:cs="Times New Roman"/>
                      <w:kern w:val="0"/>
                      <w:szCs w:val="21"/>
                    </w:rPr>
                    <w:t>环境准入负面清单</w:t>
                  </w:r>
                </w:p>
              </w:tc>
              <w:tc>
                <w:tcPr>
                  <w:tcW w:w="1954" w:type="pct"/>
                  <w:vAlign w:val="center"/>
                </w:tcPr>
                <w:p>
                  <w:pPr>
                    <w:autoSpaceDE w:val="0"/>
                    <w:autoSpaceDN w:val="0"/>
                    <w:adjustRightInd w:val="0"/>
                    <w:snapToGrid w:val="0"/>
                    <w:jc w:val="left"/>
                    <w:rPr>
                      <w:rFonts w:ascii="Times New Roman" w:hAnsi="宋体" w:eastAsia="宋体" w:cs="Times New Roman"/>
                      <w:kern w:val="0"/>
                      <w:szCs w:val="21"/>
                    </w:rPr>
                  </w:pPr>
                  <w:r>
                    <w:rPr>
                      <w:rFonts w:ascii="Times New Roman" w:hAnsi="宋体" w:eastAsia="宋体" w:cs="Times New Roman"/>
                      <w:kern w:val="0"/>
                      <w:szCs w:val="21"/>
                    </w:rPr>
                    <w:t>环境准入负面清单是基于生态保护红线、环境质量底线和资源利用上线，以清单方式列出的禁止、限值等差别化环境准入条件和要求。要在规划环评清单式管理试点的基础上，从布局选址、资源利用效率、资源配置方式等方面入手，制定环境准入负面清单，充分发挥负面清单对产业发展和项目准入的指导和约束作用。</w:t>
                  </w:r>
                </w:p>
                <w:p>
                  <w:pPr>
                    <w:autoSpaceDE w:val="0"/>
                    <w:autoSpaceDN w:val="0"/>
                    <w:adjustRightInd w:val="0"/>
                    <w:snapToGrid w:val="0"/>
                    <w:jc w:val="left"/>
                    <w:rPr>
                      <w:rFonts w:ascii="Times New Roman" w:hAnsi="宋体" w:eastAsia="宋体" w:cs="Times New Roman"/>
                      <w:kern w:val="0"/>
                      <w:szCs w:val="21"/>
                    </w:rPr>
                  </w:pPr>
                  <w:r>
                    <w:rPr>
                      <w:rFonts w:hint="eastAsia" w:ascii="Times New Roman" w:hAnsi="宋体" w:eastAsia="宋体" w:cs="Times New Roman"/>
                      <w:kern w:val="0"/>
                      <w:szCs w:val="21"/>
                    </w:rPr>
                    <w:t>秦皇岛市要求：1.禁止新建国家《产业结构调整指导目录》中限制类、淘汰类产业项目，《市场准入负面清单》中禁止准入类及《河北省禁止投资的产业目录》、《河北省新增限制和淘汰类产业目录（2015 年版）》、《秦皇岛市限制和禁止投资的产业目录》（2020 年修订版）中的产业项目。</w:t>
                  </w:r>
                </w:p>
                <w:p>
                  <w:pPr>
                    <w:autoSpaceDE w:val="0"/>
                    <w:autoSpaceDN w:val="0"/>
                    <w:adjustRightInd w:val="0"/>
                    <w:snapToGrid w:val="0"/>
                    <w:jc w:val="left"/>
                    <w:rPr>
                      <w:rFonts w:ascii="Times New Roman" w:hAnsi="宋体" w:eastAsia="宋体" w:cs="Times New Roman"/>
                      <w:kern w:val="0"/>
                      <w:szCs w:val="21"/>
                    </w:rPr>
                  </w:pPr>
                  <w:r>
                    <w:rPr>
                      <w:rFonts w:hint="eastAsia" w:ascii="Times New Roman" w:hAnsi="宋体" w:eastAsia="宋体" w:cs="Times New Roman"/>
                      <w:kern w:val="0"/>
                      <w:szCs w:val="21"/>
                    </w:rPr>
                    <w:t>2.禁止建设《环境保护综合名录（2017 年版）》中“高污染、高风险”产品加工项目。严格控制生态脆弱或环境敏感地区建设“两高”行业项目。</w:t>
                  </w:r>
                </w:p>
                <w:p>
                  <w:pPr>
                    <w:autoSpaceDE w:val="0"/>
                    <w:autoSpaceDN w:val="0"/>
                    <w:adjustRightInd w:val="0"/>
                    <w:snapToGrid w:val="0"/>
                    <w:jc w:val="left"/>
                    <w:rPr>
                      <w:rFonts w:ascii="Times New Roman" w:hAnsi="宋体" w:eastAsia="宋体" w:cs="Times New Roman"/>
                      <w:kern w:val="0"/>
                      <w:szCs w:val="21"/>
                    </w:rPr>
                  </w:pPr>
                  <w:r>
                    <w:rPr>
                      <w:rFonts w:hint="eastAsia" w:ascii="Times New Roman" w:hAnsi="宋体" w:eastAsia="宋体" w:cs="Times New Roman"/>
                      <w:kern w:val="0"/>
                      <w:szCs w:val="21"/>
                    </w:rPr>
                    <w:t>3.严禁钢铁、焦化、水泥、平板玻璃等新增产能项目建设，鼓励建设大型超超临界和超临界机组，重点行业新（改、扩）建项目严格执行产能置换、煤炭、污染物倍量削减替代办法。</w:t>
                  </w:r>
                </w:p>
                <w:p>
                  <w:pPr>
                    <w:autoSpaceDE w:val="0"/>
                    <w:autoSpaceDN w:val="0"/>
                    <w:adjustRightInd w:val="0"/>
                    <w:snapToGrid w:val="0"/>
                    <w:jc w:val="left"/>
                    <w:rPr>
                      <w:rFonts w:ascii="Times New Roman" w:hAnsi="宋体" w:eastAsia="宋体" w:cs="Times New Roman"/>
                      <w:kern w:val="0"/>
                      <w:szCs w:val="21"/>
                    </w:rPr>
                  </w:pPr>
                  <w:r>
                    <w:rPr>
                      <w:rFonts w:hint="eastAsia" w:ascii="Times New Roman" w:hAnsi="宋体" w:eastAsia="宋体" w:cs="Times New Roman"/>
                      <w:kern w:val="0"/>
                      <w:szCs w:val="21"/>
                    </w:rPr>
                    <w:t>对不符合国家产业政策、不符合当地产业布局规划的分散燃煤（燃重油等）炉窑，鼓励搬迁入园并进行集中治理，推进治理装备升级改造，建设规模化和集约化工业企业。</w:t>
                  </w:r>
                </w:p>
                <w:p>
                  <w:pPr>
                    <w:autoSpaceDE w:val="0"/>
                    <w:autoSpaceDN w:val="0"/>
                    <w:adjustRightInd w:val="0"/>
                    <w:snapToGrid w:val="0"/>
                    <w:jc w:val="left"/>
                    <w:rPr>
                      <w:rFonts w:ascii="Times New Roman" w:hAnsi="Times New Roman" w:eastAsia="宋体" w:cs="Times New Roman"/>
                      <w:kern w:val="0"/>
                      <w:szCs w:val="21"/>
                    </w:rPr>
                  </w:pPr>
                  <w:r>
                    <w:rPr>
                      <w:rFonts w:hint="eastAsia" w:ascii="Times New Roman" w:hAnsi="宋体" w:eastAsia="宋体" w:cs="Times New Roman"/>
                      <w:kern w:val="0"/>
                      <w:szCs w:val="21"/>
                    </w:rPr>
                    <w:t>4.禁止在居民区、学校、医疗和养老机构等周边新建有色金属冶炼、焦化等行业企业。</w:t>
                  </w:r>
                </w:p>
                <w:p>
                  <w:pPr>
                    <w:autoSpaceDE w:val="0"/>
                    <w:autoSpaceDN w:val="0"/>
                    <w:adjustRightInd w:val="0"/>
                    <w:snapToGrid w:val="0"/>
                    <w:jc w:val="left"/>
                    <w:rPr>
                      <w:rFonts w:ascii="Times New Roman" w:hAnsi="Times New Roman" w:eastAsia="宋体" w:cs="Times New Roman"/>
                      <w:kern w:val="0"/>
                      <w:szCs w:val="21"/>
                    </w:rPr>
                  </w:pPr>
                </w:p>
              </w:tc>
              <w:tc>
                <w:tcPr>
                  <w:tcW w:w="2239" w:type="pct"/>
                  <w:vAlign w:val="center"/>
                </w:tcPr>
                <w:p>
                  <w:pPr>
                    <w:autoSpaceDE w:val="0"/>
                    <w:autoSpaceDN w:val="0"/>
                    <w:adjustRightInd w:val="0"/>
                    <w:snapToGrid w:val="0"/>
                    <w:jc w:val="left"/>
                    <w:rPr>
                      <w:rFonts w:ascii="Times New Roman" w:hAnsi="Times New Roman" w:eastAsia="宋体" w:cs="Times New Roman"/>
                      <w:kern w:val="0"/>
                      <w:szCs w:val="21"/>
                    </w:rPr>
                  </w:pPr>
                  <w:r>
                    <w:rPr>
                      <w:rFonts w:ascii="Times New Roman" w:hAnsi="宋体" w:eastAsia="宋体" w:cs="Times New Roman"/>
                      <w:kern w:val="0"/>
                      <w:szCs w:val="21"/>
                    </w:rPr>
                    <w:t>项目不属于《产业结构调整指导目录》</w:t>
                  </w:r>
                  <w:r>
                    <w:rPr>
                      <w:rFonts w:ascii="Times New Roman" w:hAnsi="Times New Roman" w:eastAsia="宋体" w:cs="Times New Roman"/>
                      <w:kern w:val="0"/>
                      <w:szCs w:val="21"/>
                    </w:rPr>
                    <w:t>(2019</w:t>
                  </w:r>
                  <w:r>
                    <w:rPr>
                      <w:rFonts w:ascii="Times New Roman" w:hAnsi="宋体" w:eastAsia="宋体" w:cs="Times New Roman"/>
                      <w:kern w:val="0"/>
                      <w:szCs w:val="21"/>
                    </w:rPr>
                    <w:t>年本</w:t>
                  </w:r>
                  <w:r>
                    <w:rPr>
                      <w:rFonts w:ascii="Times New Roman" w:hAnsi="Times New Roman" w:eastAsia="宋体" w:cs="Times New Roman"/>
                      <w:kern w:val="0"/>
                      <w:szCs w:val="21"/>
                    </w:rPr>
                    <w:t>)</w:t>
                  </w:r>
                  <w:r>
                    <w:rPr>
                      <w:rFonts w:ascii="Times New Roman" w:hAnsi="宋体" w:eastAsia="宋体" w:cs="Times New Roman"/>
                      <w:kern w:val="0"/>
                      <w:szCs w:val="21"/>
                    </w:rPr>
                    <w:t>中的限制类和淘汰类；项目不属于《河北省新增限制和淘汰类产业目录</w:t>
                  </w:r>
                  <w:r>
                    <w:rPr>
                      <w:rFonts w:ascii="Times New Roman" w:hAnsi="Times New Roman" w:eastAsia="宋体" w:cs="Times New Roman"/>
                      <w:kern w:val="0"/>
                      <w:szCs w:val="21"/>
                    </w:rPr>
                    <w:t xml:space="preserve">(2015 </w:t>
                  </w:r>
                  <w:r>
                    <w:rPr>
                      <w:rFonts w:ascii="Times New Roman" w:hAnsi="宋体" w:eastAsia="宋体" w:cs="Times New Roman"/>
                      <w:kern w:val="0"/>
                      <w:szCs w:val="21"/>
                    </w:rPr>
                    <w:t>年版</w:t>
                  </w:r>
                  <w:r>
                    <w:rPr>
                      <w:rFonts w:ascii="Times New Roman" w:hAnsi="Times New Roman" w:eastAsia="宋体" w:cs="Times New Roman"/>
                      <w:kern w:val="0"/>
                      <w:szCs w:val="21"/>
                    </w:rPr>
                    <w:t>)</w:t>
                  </w:r>
                  <w:r>
                    <w:rPr>
                      <w:rFonts w:ascii="Times New Roman" w:hAnsi="宋体" w:eastAsia="宋体" w:cs="Times New Roman"/>
                      <w:kern w:val="0"/>
                      <w:szCs w:val="21"/>
                    </w:rPr>
                    <w:t>》（冀政办发</w:t>
                  </w:r>
                  <w:r>
                    <w:rPr>
                      <w:rFonts w:ascii="Times New Roman" w:hAnsi="Times New Roman" w:eastAsia="宋体" w:cs="Times New Roman"/>
                      <w:kern w:val="0"/>
                      <w:szCs w:val="21"/>
                    </w:rPr>
                    <w:t>[2015]7</w:t>
                  </w:r>
                  <w:r>
                    <w:rPr>
                      <w:rFonts w:ascii="Times New Roman" w:hAnsi="宋体" w:eastAsia="宋体" w:cs="Times New Roman"/>
                      <w:kern w:val="0"/>
                      <w:szCs w:val="21"/>
                    </w:rPr>
                    <w:t>号）中限制、淘汰内容。项目建设符合当前国家产业政策要求；项目选址不属于河北省人民政府印发《关于河北省区域禁</w:t>
                  </w:r>
                  <w:r>
                    <w:rPr>
                      <w:rFonts w:ascii="Times New Roman" w:hAnsi="Times New Roman" w:eastAsia="宋体" w:cs="Times New Roman"/>
                      <w:kern w:val="0"/>
                      <w:szCs w:val="21"/>
                    </w:rPr>
                    <w:t>(</w:t>
                  </w:r>
                  <w:r>
                    <w:rPr>
                      <w:rFonts w:ascii="Times New Roman" w:hAnsi="宋体" w:eastAsia="宋体" w:cs="Times New Roman"/>
                      <w:kern w:val="0"/>
                      <w:szCs w:val="21"/>
                    </w:rPr>
                    <w:t>限</w:t>
                  </w:r>
                  <w:r>
                    <w:rPr>
                      <w:rFonts w:ascii="Times New Roman" w:hAnsi="Times New Roman" w:eastAsia="宋体" w:cs="Times New Roman"/>
                      <w:kern w:val="0"/>
                      <w:szCs w:val="21"/>
                    </w:rPr>
                    <w:t>)</w:t>
                  </w:r>
                  <w:r>
                    <w:rPr>
                      <w:rFonts w:ascii="Times New Roman" w:hAnsi="宋体" w:eastAsia="宋体" w:cs="Times New Roman"/>
                      <w:kern w:val="0"/>
                      <w:szCs w:val="21"/>
                    </w:rPr>
                    <w:t>批建设项目的实施意见</w:t>
                  </w:r>
                  <w:r>
                    <w:rPr>
                      <w:rFonts w:ascii="Times New Roman" w:hAnsi="Times New Roman" w:eastAsia="宋体" w:cs="Times New Roman"/>
                      <w:kern w:val="0"/>
                      <w:szCs w:val="21"/>
                    </w:rPr>
                    <w:t>(</w:t>
                  </w:r>
                  <w:r>
                    <w:rPr>
                      <w:rFonts w:ascii="Times New Roman" w:hAnsi="宋体" w:eastAsia="宋体" w:cs="Times New Roman"/>
                      <w:kern w:val="0"/>
                      <w:szCs w:val="21"/>
                    </w:rPr>
                    <w:t>试行</w:t>
                  </w:r>
                  <w:r>
                    <w:rPr>
                      <w:rFonts w:ascii="Times New Roman" w:hAnsi="Times New Roman" w:eastAsia="宋体" w:cs="Times New Roman"/>
                      <w:kern w:val="0"/>
                      <w:szCs w:val="21"/>
                    </w:rPr>
                    <w:t>)</w:t>
                  </w:r>
                  <w:r>
                    <w:rPr>
                      <w:rFonts w:ascii="Times New Roman" w:hAnsi="宋体" w:eastAsia="宋体" w:cs="Times New Roman"/>
                      <w:kern w:val="0"/>
                      <w:szCs w:val="21"/>
                    </w:rPr>
                    <w:t>》</w:t>
                  </w:r>
                  <w:r>
                    <w:rPr>
                      <w:rFonts w:ascii="Times New Roman" w:hAnsi="Times New Roman" w:eastAsia="宋体" w:cs="Times New Roman"/>
                      <w:kern w:val="0"/>
                      <w:szCs w:val="21"/>
                    </w:rPr>
                    <w:t>(</w:t>
                  </w:r>
                  <w:r>
                    <w:rPr>
                      <w:rFonts w:ascii="Times New Roman" w:hAnsi="宋体" w:eastAsia="宋体" w:cs="Times New Roman"/>
                      <w:kern w:val="0"/>
                      <w:szCs w:val="21"/>
                    </w:rPr>
                    <w:t>冀政〔</w:t>
                  </w:r>
                  <w:r>
                    <w:rPr>
                      <w:rFonts w:ascii="Times New Roman" w:hAnsi="Times New Roman" w:eastAsia="宋体" w:cs="Times New Roman"/>
                      <w:kern w:val="0"/>
                      <w:szCs w:val="21"/>
                    </w:rPr>
                    <w:t>2009</w:t>
                  </w:r>
                  <w:r>
                    <w:rPr>
                      <w:rFonts w:ascii="Times New Roman" w:hAnsi="宋体" w:eastAsia="宋体" w:cs="Times New Roman"/>
                      <w:kern w:val="0"/>
                      <w:szCs w:val="21"/>
                    </w:rPr>
                    <w:t>〕</w:t>
                  </w:r>
                  <w:r>
                    <w:rPr>
                      <w:rFonts w:ascii="Times New Roman" w:hAnsi="Times New Roman" w:eastAsia="宋体" w:cs="Times New Roman"/>
                      <w:kern w:val="0"/>
                      <w:szCs w:val="21"/>
                    </w:rPr>
                    <w:t xml:space="preserve">89 </w:t>
                  </w:r>
                  <w:r>
                    <w:rPr>
                      <w:rFonts w:ascii="Times New Roman" w:hAnsi="宋体" w:eastAsia="宋体" w:cs="Times New Roman"/>
                      <w:kern w:val="0"/>
                      <w:szCs w:val="21"/>
                    </w:rPr>
                    <w:t>号</w:t>
                  </w:r>
                  <w:r>
                    <w:rPr>
                      <w:rFonts w:ascii="Times New Roman" w:hAnsi="Times New Roman" w:eastAsia="宋体" w:cs="Times New Roman"/>
                      <w:kern w:val="0"/>
                      <w:szCs w:val="21"/>
                    </w:rPr>
                    <w:t>)</w:t>
                  </w:r>
                  <w:r>
                    <w:rPr>
                      <w:rFonts w:ascii="Times New Roman" w:hAnsi="宋体" w:eastAsia="宋体" w:cs="Times New Roman"/>
                      <w:kern w:val="0"/>
                      <w:szCs w:val="21"/>
                    </w:rPr>
                    <w:t>规定的敏感区内。项目建设不属于《限制用地项目目录（</w:t>
                  </w:r>
                  <w:r>
                    <w:rPr>
                      <w:rFonts w:ascii="Times New Roman" w:hAnsi="Times New Roman" w:eastAsia="宋体" w:cs="Times New Roman"/>
                      <w:kern w:val="0"/>
                      <w:szCs w:val="21"/>
                    </w:rPr>
                    <w:t xml:space="preserve">2012 </w:t>
                  </w:r>
                  <w:r>
                    <w:rPr>
                      <w:rFonts w:ascii="Times New Roman" w:hAnsi="宋体" w:eastAsia="宋体" w:cs="Times New Roman"/>
                      <w:kern w:val="0"/>
                      <w:szCs w:val="21"/>
                    </w:rPr>
                    <w:t>年本）》和《禁止用地项目目录（</w:t>
                  </w:r>
                  <w:r>
                    <w:rPr>
                      <w:rFonts w:ascii="Times New Roman" w:hAnsi="Times New Roman" w:eastAsia="宋体" w:cs="Times New Roman"/>
                      <w:kern w:val="0"/>
                      <w:szCs w:val="21"/>
                    </w:rPr>
                    <w:t xml:space="preserve">2012 </w:t>
                  </w:r>
                  <w:r>
                    <w:rPr>
                      <w:rFonts w:ascii="Times New Roman" w:hAnsi="宋体" w:eastAsia="宋体" w:cs="Times New Roman"/>
                      <w:kern w:val="0"/>
                      <w:szCs w:val="21"/>
                    </w:rPr>
                    <w:t>年本）》的限制或禁止项目。项目不属于</w:t>
                  </w:r>
                  <w:r>
                    <w:rPr>
                      <w:rFonts w:hint="eastAsia" w:ascii="Times New Roman" w:hAnsi="Times New Roman" w:eastAsia="宋体" w:cs="Times New Roman"/>
                      <w:snapToGrid w:val="0"/>
                      <w:kern w:val="0"/>
                      <w:szCs w:val="25"/>
                    </w:rPr>
                    <w:t>《秦皇岛市限制和禁止投资的产业目录》（2020修订版）限制和禁止类，不属于《市场准入负面清单》（2022年版）中禁止准入和许可准入类项目，本项目不属于</w:t>
                  </w:r>
                  <w:r>
                    <w:rPr>
                      <w:rFonts w:ascii="宋体" w:hAnsi="宋体" w:cs="宋体"/>
                      <w:kern w:val="0"/>
                      <w:szCs w:val="21"/>
                    </w:rPr>
                    <w:t>《环境保护综合名录》</w:t>
                  </w:r>
                  <w:r>
                    <w:rPr>
                      <w:kern w:val="0"/>
                      <w:szCs w:val="21"/>
                    </w:rPr>
                    <w:t>（2021年版）中高污染、高风险产品。</w:t>
                  </w:r>
                </w:p>
              </w:tc>
            </w:tr>
          </w:tbl>
          <w:p>
            <w:pPr>
              <w:autoSpaceDE w:val="0"/>
              <w:autoSpaceDN w:val="0"/>
              <w:adjustRightInd w:val="0"/>
              <w:snapToGrid w:val="0"/>
              <w:spacing w:before="120" w:beforeLines="50"/>
              <w:jc w:val="center"/>
              <w:rPr>
                <w:b/>
                <w:kern w:val="0"/>
                <w:szCs w:val="21"/>
              </w:rPr>
            </w:pPr>
            <w:r>
              <w:rPr>
                <w:b/>
                <w:kern w:val="0"/>
                <w:szCs w:val="21"/>
              </w:rPr>
              <w:t>表</w:t>
            </w:r>
            <w:r>
              <w:rPr>
                <w:rFonts w:hint="eastAsia"/>
                <w:b/>
                <w:kern w:val="0"/>
                <w:szCs w:val="21"/>
              </w:rPr>
              <w:t xml:space="preserve">2 </w:t>
            </w:r>
            <w:r>
              <w:rPr>
                <w:b/>
                <w:snapToGrid w:val="0"/>
                <w:kern w:val="0"/>
                <w:szCs w:val="25"/>
              </w:rPr>
              <w:t>秦皇岛市“三线一单”准入清单</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9"/>
              <w:gridCol w:w="1174"/>
              <w:gridCol w:w="763"/>
              <w:gridCol w:w="444"/>
              <w:gridCol w:w="2541"/>
              <w:gridCol w:w="9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trPr>
              <w:tc>
                <w:tcPr>
                  <w:tcW w:w="0" w:type="auto"/>
                  <w:gridSpan w:val="6"/>
                  <w:vAlign w:val="center"/>
                </w:tcPr>
                <w:p>
                  <w:pPr>
                    <w:widowControl/>
                    <w:adjustRightInd w:val="0"/>
                    <w:snapToGrid w:val="0"/>
                    <w:jc w:val="center"/>
                    <w:rPr>
                      <w:kern w:val="0"/>
                      <w:szCs w:val="21"/>
                    </w:rPr>
                  </w:pPr>
                  <w:r>
                    <w:rPr>
                      <w:kern w:val="0"/>
                      <w:szCs w:val="21"/>
                    </w:rPr>
                    <w:t>秦皇岛市生</w:t>
                  </w:r>
                  <w:r>
                    <w:rPr>
                      <w:kern w:val="0"/>
                      <w:szCs w:val="21"/>
                    </w:rPr>
                    <w:cr/>
                  </w:r>
                  <w:r>
                    <w:rPr>
                      <w:kern w:val="0"/>
                      <w:szCs w:val="21"/>
                    </w:rPr>
                    <w:t>环境准入清单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0" w:type="auto"/>
                  <w:vAlign w:val="center"/>
                </w:tcPr>
                <w:p>
                  <w:pPr>
                    <w:widowControl/>
                    <w:adjustRightInd w:val="0"/>
                    <w:snapToGrid w:val="0"/>
                    <w:jc w:val="center"/>
                    <w:rPr>
                      <w:kern w:val="0"/>
                      <w:szCs w:val="21"/>
                    </w:rPr>
                  </w:pPr>
                  <w:r>
                    <w:rPr>
                      <w:kern w:val="0"/>
                      <w:szCs w:val="21"/>
                    </w:rPr>
                    <w:t>序号</w:t>
                  </w:r>
                </w:p>
              </w:tc>
              <w:tc>
                <w:tcPr>
                  <w:tcW w:w="0" w:type="auto"/>
                  <w:vAlign w:val="center"/>
                </w:tcPr>
                <w:p>
                  <w:pPr>
                    <w:widowControl/>
                    <w:adjustRightInd w:val="0"/>
                    <w:snapToGrid w:val="0"/>
                    <w:jc w:val="center"/>
                    <w:rPr>
                      <w:kern w:val="0"/>
                      <w:szCs w:val="21"/>
                    </w:rPr>
                  </w:pPr>
                  <w:r>
                    <w:rPr>
                      <w:kern w:val="0"/>
                      <w:szCs w:val="21"/>
                    </w:rPr>
                    <w:t>文件名称</w:t>
                  </w:r>
                </w:p>
              </w:tc>
              <w:tc>
                <w:tcPr>
                  <w:tcW w:w="0" w:type="auto"/>
                  <w:vAlign w:val="center"/>
                </w:tcPr>
                <w:p>
                  <w:pPr>
                    <w:adjustRightInd w:val="0"/>
                    <w:snapToGrid w:val="0"/>
                    <w:jc w:val="center"/>
                    <w:rPr>
                      <w:kern w:val="0"/>
                      <w:szCs w:val="21"/>
                    </w:rPr>
                  </w:pPr>
                  <w:r>
                    <w:rPr>
                      <w:kern w:val="0"/>
                      <w:szCs w:val="21"/>
                    </w:rPr>
                    <w:t>环境要素类别</w:t>
                  </w:r>
                </w:p>
              </w:tc>
              <w:tc>
                <w:tcPr>
                  <w:tcW w:w="0" w:type="auto"/>
                  <w:vAlign w:val="center"/>
                </w:tcPr>
                <w:p>
                  <w:pPr>
                    <w:adjustRightInd w:val="0"/>
                    <w:snapToGrid w:val="0"/>
                    <w:jc w:val="center"/>
                    <w:rPr>
                      <w:kern w:val="0"/>
                      <w:szCs w:val="21"/>
                    </w:rPr>
                  </w:pPr>
                  <w:r>
                    <w:rPr>
                      <w:kern w:val="0"/>
                      <w:szCs w:val="21"/>
                    </w:rPr>
                    <w:t>维度</w:t>
                  </w:r>
                </w:p>
              </w:tc>
              <w:tc>
                <w:tcPr>
                  <w:tcW w:w="0" w:type="auto"/>
                  <w:vAlign w:val="center"/>
                </w:tcPr>
                <w:p>
                  <w:pPr>
                    <w:adjustRightInd w:val="0"/>
                    <w:snapToGrid w:val="0"/>
                    <w:jc w:val="center"/>
                    <w:rPr>
                      <w:kern w:val="0"/>
                      <w:szCs w:val="21"/>
                    </w:rPr>
                  </w:pPr>
                  <w:r>
                    <w:rPr>
                      <w:kern w:val="0"/>
                      <w:szCs w:val="21"/>
                    </w:rPr>
                    <w:t>准入要求</w:t>
                  </w:r>
                </w:p>
              </w:tc>
              <w:tc>
                <w:tcPr>
                  <w:tcW w:w="0" w:type="auto"/>
                  <w:vAlign w:val="center"/>
                </w:tcPr>
                <w:p>
                  <w:pPr>
                    <w:widowControl/>
                    <w:adjustRightInd w:val="0"/>
                    <w:snapToGrid w:val="0"/>
                    <w:jc w:val="center"/>
                    <w:rPr>
                      <w:kern w:val="0"/>
                      <w:szCs w:val="21"/>
                    </w:rPr>
                  </w:pPr>
                  <w:r>
                    <w:rPr>
                      <w:kern w:val="0"/>
                      <w:szCs w:val="21"/>
                    </w:rPr>
                    <w:t>符合性分析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trPr>
              <w:tc>
                <w:tcPr>
                  <w:tcW w:w="0" w:type="auto"/>
                  <w:vAlign w:val="center"/>
                </w:tcPr>
                <w:p>
                  <w:pPr>
                    <w:widowControl/>
                    <w:adjustRightInd w:val="0"/>
                    <w:snapToGrid w:val="0"/>
                    <w:jc w:val="center"/>
                    <w:rPr>
                      <w:kern w:val="0"/>
                      <w:szCs w:val="21"/>
                    </w:rPr>
                  </w:pPr>
                  <w:r>
                    <w:rPr>
                      <w:rFonts w:hint="eastAsia"/>
                      <w:kern w:val="0"/>
                      <w:szCs w:val="21"/>
                    </w:rPr>
                    <w:t>1</w:t>
                  </w:r>
                </w:p>
              </w:tc>
              <w:tc>
                <w:tcPr>
                  <w:tcW w:w="0" w:type="auto"/>
                  <w:vAlign w:val="center"/>
                </w:tcPr>
                <w:p>
                  <w:pPr>
                    <w:widowControl/>
                    <w:adjustRightInd w:val="0"/>
                    <w:snapToGrid w:val="0"/>
                    <w:jc w:val="center"/>
                    <w:rPr>
                      <w:kern w:val="0"/>
                      <w:szCs w:val="21"/>
                    </w:rPr>
                  </w:pPr>
                  <w:r>
                    <w:rPr>
                      <w:kern w:val="0"/>
                      <w:szCs w:val="21"/>
                    </w:rPr>
                    <w:t>秦皇岛市人民政府关于秦皇岛市“三线一单”生态环境分区管控的实施意见秦政字【2021】</w:t>
                  </w:r>
                  <w:r>
                    <w:rPr>
                      <w:rFonts w:hint="eastAsia"/>
                      <w:kern w:val="0"/>
                      <w:szCs w:val="21"/>
                    </w:rPr>
                    <w:t xml:space="preserve"> </w:t>
                  </w:r>
                  <w:r>
                    <w:rPr>
                      <w:kern w:val="0"/>
                      <w:szCs w:val="21"/>
                    </w:rPr>
                    <w:t>6号</w:t>
                  </w:r>
                </w:p>
              </w:tc>
              <w:tc>
                <w:tcPr>
                  <w:tcW w:w="0" w:type="auto"/>
                  <w:vAlign w:val="center"/>
                </w:tcPr>
                <w:p>
                  <w:pPr>
                    <w:widowControl/>
                    <w:adjustRightInd w:val="0"/>
                    <w:snapToGrid w:val="0"/>
                    <w:jc w:val="center"/>
                    <w:rPr>
                      <w:kern w:val="0"/>
                      <w:szCs w:val="21"/>
                    </w:rPr>
                  </w:pPr>
                  <w:r>
                    <w:rPr>
                      <w:rFonts w:hint="eastAsia"/>
                      <w:szCs w:val="21"/>
                    </w:rPr>
                    <w:t>重点</w:t>
                  </w:r>
                  <w:r>
                    <w:rPr>
                      <w:szCs w:val="21"/>
                    </w:rPr>
                    <w:t>管控单元</w:t>
                  </w:r>
                </w:p>
              </w:tc>
              <w:tc>
                <w:tcPr>
                  <w:tcW w:w="0" w:type="auto"/>
                  <w:vAlign w:val="center"/>
                </w:tcPr>
                <w:p>
                  <w:pPr>
                    <w:widowControl/>
                    <w:adjustRightInd w:val="0"/>
                    <w:snapToGrid w:val="0"/>
                    <w:jc w:val="center"/>
                    <w:rPr>
                      <w:kern w:val="0"/>
                      <w:szCs w:val="21"/>
                    </w:rPr>
                  </w:pPr>
                  <w:r>
                    <w:rPr>
                      <w:kern w:val="0"/>
                      <w:szCs w:val="21"/>
                    </w:rPr>
                    <w:t>-</w:t>
                  </w:r>
                </w:p>
              </w:tc>
              <w:tc>
                <w:tcPr>
                  <w:tcW w:w="0" w:type="auto"/>
                  <w:vAlign w:val="center"/>
                </w:tcPr>
                <w:p>
                  <w:pPr>
                    <w:widowControl/>
                    <w:adjustRightInd w:val="0"/>
                    <w:snapToGrid w:val="0"/>
                    <w:jc w:val="center"/>
                    <w:rPr>
                      <w:kern w:val="0"/>
                      <w:szCs w:val="21"/>
                    </w:rPr>
                  </w:pPr>
                  <w:r>
                    <w:rPr>
                      <w:rFonts w:hint="eastAsia" w:ascii="宋体" w:hAnsi="Times New Roman" w:eastAsia="宋体" w:cs="宋体"/>
                      <w:kern w:val="0"/>
                      <w:szCs w:val="21"/>
                    </w:rPr>
                    <w:t>优化工业布局，有序实施高污染、高排放企业整改或搬迁退出；强化船舶和区域移动源管控；完善污水处理设施；加快城镇河流水系环境整治；加强工业污染场地环境风险防控和开发再利用监管。</w:t>
                  </w:r>
                </w:p>
              </w:tc>
              <w:tc>
                <w:tcPr>
                  <w:tcW w:w="0" w:type="auto"/>
                  <w:vAlign w:val="center"/>
                </w:tcPr>
                <w:p>
                  <w:pPr>
                    <w:pStyle w:val="63"/>
                    <w:adjustRightInd w:val="0"/>
                    <w:snapToGrid w:val="0"/>
                    <w:spacing w:line="240" w:lineRule="auto"/>
                    <w:ind w:firstLine="0" w:firstLineChars="0"/>
                    <w:jc w:val="center"/>
                    <w:rPr>
                      <w:kern w:val="0"/>
                      <w:szCs w:val="21"/>
                    </w:rPr>
                  </w:pPr>
                  <w:r>
                    <w:rPr>
                      <w:kern w:val="0"/>
                      <w:szCs w:val="21"/>
                    </w:rPr>
                    <w:t>符合准入要求。</w:t>
                  </w:r>
                </w:p>
                <w:p>
                  <w:pPr>
                    <w:widowControl/>
                    <w:adjustRightInd w:val="0"/>
                    <w:snapToGrid w:val="0"/>
                    <w:jc w:val="center"/>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trPr>
              <w:tc>
                <w:tcPr>
                  <w:tcW w:w="0" w:type="auto"/>
                  <w:vAlign w:val="center"/>
                </w:tcPr>
                <w:p>
                  <w:pPr>
                    <w:widowControl/>
                    <w:adjustRightInd w:val="0"/>
                    <w:snapToGrid w:val="0"/>
                    <w:jc w:val="center"/>
                    <w:rPr>
                      <w:kern w:val="0"/>
                      <w:szCs w:val="21"/>
                    </w:rPr>
                  </w:pPr>
                  <w:r>
                    <w:rPr>
                      <w:rFonts w:hint="eastAsia"/>
                      <w:kern w:val="0"/>
                      <w:szCs w:val="21"/>
                    </w:rPr>
                    <w:t>2</w:t>
                  </w:r>
                </w:p>
              </w:tc>
              <w:tc>
                <w:tcPr>
                  <w:tcW w:w="0" w:type="auto"/>
                  <w:vMerge w:val="restart"/>
                  <w:vAlign w:val="center"/>
                </w:tcPr>
                <w:p>
                  <w:pPr>
                    <w:adjustRightInd w:val="0"/>
                    <w:snapToGrid w:val="0"/>
                    <w:jc w:val="center"/>
                    <w:rPr>
                      <w:kern w:val="0"/>
                      <w:szCs w:val="21"/>
                    </w:rPr>
                  </w:pPr>
                  <w:r>
                    <w:rPr>
                      <w:kern w:val="0"/>
                      <w:szCs w:val="21"/>
                    </w:rPr>
                    <w:t>秦皇岛市生态环境拟准入清单中综合管控单元准入清单—留守营</w:t>
                  </w:r>
                </w:p>
              </w:tc>
              <w:tc>
                <w:tcPr>
                  <w:tcW w:w="0" w:type="auto"/>
                  <w:vAlign w:val="center"/>
                </w:tcPr>
                <w:p>
                  <w:pPr>
                    <w:widowControl/>
                    <w:adjustRightInd w:val="0"/>
                    <w:snapToGrid w:val="0"/>
                    <w:jc w:val="center"/>
                    <w:rPr>
                      <w:szCs w:val="21"/>
                    </w:rPr>
                  </w:pPr>
                  <w:r>
                    <w:rPr>
                      <w:kern w:val="0"/>
                      <w:szCs w:val="21"/>
                    </w:rPr>
                    <w:t>河湖滨岸带敏感生态保护红线优先保护区</w:t>
                  </w:r>
                </w:p>
              </w:tc>
              <w:tc>
                <w:tcPr>
                  <w:tcW w:w="0" w:type="auto"/>
                  <w:vAlign w:val="center"/>
                </w:tcPr>
                <w:p>
                  <w:pPr>
                    <w:widowControl/>
                    <w:adjustRightInd w:val="0"/>
                    <w:snapToGrid w:val="0"/>
                    <w:jc w:val="center"/>
                    <w:rPr>
                      <w:kern w:val="0"/>
                      <w:szCs w:val="21"/>
                    </w:rPr>
                  </w:pPr>
                  <w:r>
                    <w:rPr>
                      <w:kern w:val="0"/>
                      <w:szCs w:val="21"/>
                    </w:rPr>
                    <w:t>空间布局约束</w:t>
                  </w:r>
                </w:p>
              </w:tc>
              <w:tc>
                <w:tcPr>
                  <w:tcW w:w="0" w:type="auto"/>
                  <w:vAlign w:val="center"/>
                </w:tcPr>
                <w:p>
                  <w:pPr>
                    <w:widowControl/>
                    <w:adjustRightInd w:val="0"/>
                    <w:snapToGrid w:val="0"/>
                    <w:jc w:val="center"/>
                    <w:rPr>
                      <w:rFonts w:ascii="宋体" w:hAnsi="Times New Roman" w:eastAsia="宋体" w:cs="宋体"/>
                      <w:kern w:val="0"/>
                      <w:szCs w:val="21"/>
                    </w:rPr>
                  </w:pPr>
                  <w:r>
                    <w:rPr>
                      <w:rFonts w:hint="eastAsia" w:ascii="宋体" w:hAnsi="Times New Roman" w:eastAsia="宋体" w:cs="宋体"/>
                      <w:kern w:val="0"/>
                      <w:szCs w:val="21"/>
                    </w:rPr>
                    <w:t>1、红线内除《关于在国土空间规划中统筹划定落实三条控制线的指导意见》中 8类活动外，严禁不符合主体功能定位的各类开发建设活动，禁止城镇建设、工业生产等活动。</w:t>
                  </w:r>
                </w:p>
              </w:tc>
              <w:tc>
                <w:tcPr>
                  <w:tcW w:w="0" w:type="auto"/>
                  <w:vAlign w:val="center"/>
                </w:tcPr>
                <w:p>
                  <w:pPr>
                    <w:pStyle w:val="63"/>
                    <w:adjustRightInd w:val="0"/>
                    <w:snapToGrid w:val="0"/>
                    <w:spacing w:line="240" w:lineRule="auto"/>
                    <w:ind w:firstLine="0" w:firstLineChars="0"/>
                    <w:jc w:val="center"/>
                    <w:rPr>
                      <w:kern w:val="0"/>
                      <w:szCs w:val="21"/>
                    </w:rPr>
                  </w:pPr>
                  <w:r>
                    <w:rPr>
                      <w:kern w:val="0"/>
                      <w:szCs w:val="21"/>
                    </w:rPr>
                    <w:t>本项目不涉及破坏水土流失的活动，不位于生态红线内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trPr>
              <w:tc>
                <w:tcPr>
                  <w:tcW w:w="0" w:type="auto"/>
                  <w:vAlign w:val="center"/>
                </w:tcPr>
                <w:p>
                  <w:pPr>
                    <w:widowControl/>
                    <w:adjustRightInd w:val="0"/>
                    <w:snapToGrid w:val="0"/>
                    <w:jc w:val="center"/>
                    <w:rPr>
                      <w:kern w:val="0"/>
                      <w:szCs w:val="21"/>
                    </w:rPr>
                  </w:pPr>
                  <w:r>
                    <w:rPr>
                      <w:rFonts w:hint="eastAsia"/>
                      <w:kern w:val="0"/>
                      <w:szCs w:val="21"/>
                    </w:rPr>
                    <w:t>3</w:t>
                  </w:r>
                </w:p>
              </w:tc>
              <w:tc>
                <w:tcPr>
                  <w:tcW w:w="0" w:type="auto"/>
                  <w:vMerge w:val="continue"/>
                  <w:vAlign w:val="center"/>
                </w:tcPr>
                <w:p>
                  <w:pPr>
                    <w:adjustRightInd w:val="0"/>
                    <w:snapToGrid w:val="0"/>
                    <w:jc w:val="center"/>
                    <w:rPr>
                      <w:kern w:val="0"/>
                      <w:szCs w:val="21"/>
                    </w:rPr>
                  </w:pPr>
                </w:p>
              </w:tc>
              <w:tc>
                <w:tcPr>
                  <w:tcW w:w="0" w:type="auto"/>
                  <w:vAlign w:val="center"/>
                </w:tcPr>
                <w:p>
                  <w:pPr>
                    <w:widowControl/>
                    <w:adjustRightInd w:val="0"/>
                    <w:snapToGrid w:val="0"/>
                    <w:jc w:val="center"/>
                    <w:rPr>
                      <w:kern w:val="0"/>
                      <w:szCs w:val="21"/>
                    </w:rPr>
                  </w:pPr>
                  <w:r>
                    <w:rPr>
                      <w:kern w:val="0"/>
                      <w:szCs w:val="21"/>
                    </w:rPr>
                    <w:t>水源涵养、水环境优先保护单元</w:t>
                  </w:r>
                </w:p>
              </w:tc>
              <w:tc>
                <w:tcPr>
                  <w:tcW w:w="0" w:type="auto"/>
                  <w:vAlign w:val="center"/>
                </w:tcPr>
                <w:p>
                  <w:pPr>
                    <w:widowControl/>
                    <w:adjustRightInd w:val="0"/>
                    <w:snapToGrid w:val="0"/>
                    <w:jc w:val="center"/>
                    <w:rPr>
                      <w:kern w:val="0"/>
                      <w:szCs w:val="21"/>
                    </w:rPr>
                  </w:pPr>
                  <w:r>
                    <w:rPr>
                      <w:kern w:val="0"/>
                      <w:szCs w:val="21"/>
                    </w:rPr>
                    <w:t>空间布局约束</w:t>
                  </w:r>
                </w:p>
              </w:tc>
              <w:tc>
                <w:tcPr>
                  <w:tcW w:w="0" w:type="auto"/>
                  <w:vAlign w:val="center"/>
                </w:tcPr>
                <w:p>
                  <w:pPr>
                    <w:widowControl/>
                    <w:adjustRightInd w:val="0"/>
                    <w:snapToGrid w:val="0"/>
                    <w:jc w:val="center"/>
                    <w:rPr>
                      <w:rFonts w:ascii="宋体" w:hAnsi="Times New Roman" w:eastAsia="宋体" w:cs="宋体"/>
                      <w:kern w:val="0"/>
                      <w:szCs w:val="21"/>
                    </w:rPr>
                  </w:pPr>
                  <w:r>
                    <w:rPr>
                      <w:rFonts w:hint="eastAsia" w:ascii="宋体" w:hAnsi="Times New Roman" w:eastAsia="宋体" w:cs="宋体"/>
                      <w:kern w:val="0"/>
                      <w:szCs w:val="21"/>
                    </w:rPr>
                    <w:t>1、按照全市一般生态空间总体准入管控要求执行，严格限制破坏水源涵养功能的活动。</w:t>
                  </w:r>
                </w:p>
              </w:tc>
              <w:tc>
                <w:tcPr>
                  <w:tcW w:w="0" w:type="auto"/>
                  <w:vAlign w:val="center"/>
                </w:tcPr>
                <w:p>
                  <w:pPr>
                    <w:pStyle w:val="63"/>
                    <w:adjustRightInd w:val="0"/>
                    <w:snapToGrid w:val="0"/>
                    <w:spacing w:line="240" w:lineRule="auto"/>
                    <w:ind w:firstLine="0" w:firstLineChars="0"/>
                    <w:jc w:val="center"/>
                    <w:rPr>
                      <w:kern w:val="0"/>
                      <w:szCs w:val="21"/>
                    </w:rPr>
                  </w:pPr>
                  <w:r>
                    <w:rPr>
                      <w:kern w:val="0"/>
                      <w:szCs w:val="21"/>
                    </w:rPr>
                    <w:t>本项目不涉及破坏水源涵养功能的活动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trPr>
              <w:tc>
                <w:tcPr>
                  <w:tcW w:w="0" w:type="auto"/>
                  <w:vMerge w:val="restart"/>
                  <w:vAlign w:val="center"/>
                </w:tcPr>
                <w:p>
                  <w:pPr>
                    <w:widowControl/>
                    <w:adjustRightInd w:val="0"/>
                    <w:snapToGrid w:val="0"/>
                    <w:jc w:val="center"/>
                    <w:rPr>
                      <w:kern w:val="0"/>
                      <w:szCs w:val="21"/>
                    </w:rPr>
                  </w:pPr>
                  <w:r>
                    <w:rPr>
                      <w:rFonts w:hint="eastAsia"/>
                      <w:kern w:val="0"/>
                      <w:szCs w:val="21"/>
                    </w:rPr>
                    <w:t>4</w:t>
                  </w:r>
                </w:p>
              </w:tc>
              <w:tc>
                <w:tcPr>
                  <w:tcW w:w="0" w:type="auto"/>
                  <w:vMerge w:val="continue"/>
                  <w:vAlign w:val="center"/>
                </w:tcPr>
                <w:p>
                  <w:pPr>
                    <w:widowControl/>
                    <w:adjustRightInd w:val="0"/>
                    <w:snapToGrid w:val="0"/>
                    <w:jc w:val="center"/>
                    <w:rPr>
                      <w:kern w:val="0"/>
                      <w:szCs w:val="21"/>
                    </w:rPr>
                  </w:pPr>
                </w:p>
              </w:tc>
              <w:tc>
                <w:tcPr>
                  <w:tcW w:w="0" w:type="auto"/>
                  <w:vAlign w:val="center"/>
                </w:tcPr>
                <w:p>
                  <w:pPr>
                    <w:adjustRightInd w:val="0"/>
                    <w:snapToGrid w:val="0"/>
                    <w:jc w:val="center"/>
                    <w:rPr>
                      <w:kern w:val="0"/>
                      <w:szCs w:val="21"/>
                    </w:rPr>
                  </w:pPr>
                  <w:r>
                    <w:rPr>
                      <w:kern w:val="0"/>
                      <w:szCs w:val="21"/>
                    </w:rPr>
                    <w:t>燕山水源涵养、生物多样性维华生态保护红线、水源涵养</w:t>
                  </w:r>
                </w:p>
              </w:tc>
              <w:tc>
                <w:tcPr>
                  <w:tcW w:w="0" w:type="auto"/>
                  <w:vAlign w:val="center"/>
                </w:tcPr>
                <w:p>
                  <w:pPr>
                    <w:widowControl/>
                    <w:adjustRightInd w:val="0"/>
                    <w:snapToGrid w:val="0"/>
                    <w:jc w:val="center"/>
                    <w:rPr>
                      <w:kern w:val="0"/>
                      <w:szCs w:val="21"/>
                    </w:rPr>
                  </w:pPr>
                  <w:r>
                    <w:rPr>
                      <w:kern w:val="0"/>
                      <w:szCs w:val="21"/>
                    </w:rPr>
                    <w:t>空间布局约束</w:t>
                  </w:r>
                </w:p>
              </w:tc>
              <w:tc>
                <w:tcPr>
                  <w:tcW w:w="0" w:type="auto"/>
                  <w:vAlign w:val="center"/>
                </w:tcPr>
                <w:p>
                  <w:pPr>
                    <w:autoSpaceDE w:val="0"/>
                    <w:autoSpaceDN w:val="0"/>
                    <w:adjustRightInd w:val="0"/>
                    <w:snapToGrid w:val="0"/>
                    <w:jc w:val="left"/>
                    <w:rPr>
                      <w:kern w:val="0"/>
                      <w:szCs w:val="21"/>
                    </w:rPr>
                  </w:pPr>
                  <w:r>
                    <w:rPr>
                      <w:rFonts w:hint="eastAsia"/>
                      <w:kern w:val="0"/>
                      <w:szCs w:val="21"/>
                    </w:rPr>
                    <w:t>1、红线内除《关于在国土空间规划中统筹划定落实三条控制线的指导意见》中 8类活动外，严禁不符合主体功能定位的各类开发建设活动，禁止城镇建设、工业生产等活动。2、按照全市一般生态空间总体准入管控要求执行，严格限制破坏水源涵养功能的活动。</w:t>
                  </w:r>
                </w:p>
              </w:tc>
              <w:tc>
                <w:tcPr>
                  <w:tcW w:w="0" w:type="auto"/>
                  <w:vAlign w:val="center"/>
                </w:tcPr>
                <w:p>
                  <w:pPr>
                    <w:widowControl/>
                    <w:adjustRightInd w:val="0"/>
                    <w:snapToGrid w:val="0"/>
                    <w:jc w:val="center"/>
                    <w:rPr>
                      <w:kern w:val="0"/>
                      <w:szCs w:val="21"/>
                    </w:rPr>
                  </w:pPr>
                  <w:r>
                    <w:rPr>
                      <w:kern w:val="0"/>
                      <w:szCs w:val="21"/>
                    </w:rPr>
                    <w:t>符合准入要求，不涉及破坏水源涵养功能的活动，本项</w:t>
                  </w:r>
                  <w:r>
                    <w:rPr>
                      <w:kern w:val="0"/>
                      <w:szCs w:val="21"/>
                    </w:rPr>
                    <w:cr/>
                  </w:r>
                  <w:r>
                    <w:rPr>
                      <w:kern w:val="0"/>
                      <w:szCs w:val="21"/>
                    </w:rPr>
                    <w:t>目生产用水处理后全部回用，无废水外排。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trPr>
              <w:tc>
                <w:tcPr>
                  <w:tcW w:w="0" w:type="auto"/>
                  <w:vMerge w:val="continue"/>
                  <w:vAlign w:val="center"/>
                </w:tcPr>
                <w:p>
                  <w:pPr>
                    <w:widowControl/>
                    <w:adjustRightInd w:val="0"/>
                    <w:snapToGrid w:val="0"/>
                    <w:jc w:val="center"/>
                    <w:rPr>
                      <w:kern w:val="0"/>
                      <w:szCs w:val="21"/>
                    </w:rPr>
                  </w:pPr>
                </w:p>
              </w:tc>
              <w:tc>
                <w:tcPr>
                  <w:tcW w:w="0" w:type="auto"/>
                  <w:vMerge w:val="continue"/>
                  <w:vAlign w:val="center"/>
                </w:tcPr>
                <w:p>
                  <w:pPr>
                    <w:widowControl/>
                    <w:adjustRightInd w:val="0"/>
                    <w:snapToGrid w:val="0"/>
                    <w:jc w:val="center"/>
                    <w:rPr>
                      <w:kern w:val="0"/>
                      <w:szCs w:val="21"/>
                    </w:rPr>
                  </w:pPr>
                </w:p>
              </w:tc>
              <w:tc>
                <w:tcPr>
                  <w:tcW w:w="0" w:type="auto"/>
                  <w:vAlign w:val="center"/>
                </w:tcPr>
                <w:p>
                  <w:pPr>
                    <w:adjustRightInd w:val="0"/>
                    <w:snapToGrid w:val="0"/>
                    <w:jc w:val="center"/>
                    <w:rPr>
                      <w:kern w:val="0"/>
                      <w:szCs w:val="21"/>
                    </w:rPr>
                  </w:pPr>
                  <w:r>
                    <w:rPr>
                      <w:kern w:val="0"/>
                      <w:szCs w:val="21"/>
                    </w:rPr>
                    <w:t>水源涵养、细河水源地-优先保护区</w:t>
                  </w:r>
                </w:p>
              </w:tc>
              <w:tc>
                <w:tcPr>
                  <w:tcW w:w="0" w:type="auto"/>
                  <w:vAlign w:val="center"/>
                </w:tcPr>
                <w:p>
                  <w:pPr>
                    <w:widowControl/>
                    <w:adjustRightInd w:val="0"/>
                    <w:snapToGrid w:val="0"/>
                    <w:jc w:val="center"/>
                    <w:rPr>
                      <w:kern w:val="0"/>
                      <w:szCs w:val="21"/>
                    </w:rPr>
                  </w:pPr>
                  <w:r>
                    <w:rPr>
                      <w:kern w:val="0"/>
                      <w:szCs w:val="21"/>
                    </w:rPr>
                    <w:t>空间布局约束</w:t>
                  </w:r>
                </w:p>
              </w:tc>
              <w:tc>
                <w:tcPr>
                  <w:tcW w:w="0" w:type="auto"/>
                  <w:vAlign w:val="center"/>
                </w:tcPr>
                <w:p>
                  <w:pPr>
                    <w:autoSpaceDE w:val="0"/>
                    <w:autoSpaceDN w:val="0"/>
                    <w:adjustRightInd w:val="0"/>
                    <w:snapToGrid w:val="0"/>
                    <w:jc w:val="left"/>
                    <w:rPr>
                      <w:kern w:val="0"/>
                      <w:szCs w:val="21"/>
                    </w:rPr>
                  </w:pPr>
                  <w:r>
                    <w:rPr>
                      <w:rFonts w:hint="eastAsia"/>
                      <w:kern w:val="0"/>
                      <w:szCs w:val="21"/>
                    </w:rPr>
                    <w:t>1、按照一般生态空间水源涵养管控要求，严格限制破坏水源涵养功能的活动。2、饮用水源保护区按照《饮用水水源保护条例》及相关管理条例等要求执行。</w:t>
                  </w:r>
                </w:p>
              </w:tc>
              <w:tc>
                <w:tcPr>
                  <w:tcW w:w="0" w:type="auto"/>
                  <w:vAlign w:val="center"/>
                </w:tcPr>
                <w:p>
                  <w:pPr>
                    <w:widowControl/>
                    <w:adjustRightInd w:val="0"/>
                    <w:snapToGrid w:val="0"/>
                    <w:jc w:val="center"/>
                    <w:rPr>
                      <w:kern w:val="0"/>
                      <w:szCs w:val="21"/>
                    </w:rPr>
                  </w:pPr>
                  <w:r>
                    <w:rPr>
                      <w:kern w:val="0"/>
                      <w:szCs w:val="21"/>
                    </w:rPr>
                    <w:t>本项目不涉及破坏</w:t>
                  </w:r>
                  <w:r>
                    <w:rPr>
                      <w:rFonts w:hint="eastAsia"/>
                      <w:kern w:val="0"/>
                      <w:szCs w:val="21"/>
                    </w:rPr>
                    <w:t>水源涵养功能的活动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0" w:type="auto"/>
                  <w:vMerge w:val="continue"/>
                  <w:vAlign w:val="center"/>
                </w:tcPr>
                <w:p>
                  <w:pPr>
                    <w:widowControl/>
                    <w:adjustRightInd w:val="0"/>
                    <w:snapToGrid w:val="0"/>
                    <w:jc w:val="center"/>
                    <w:rPr>
                      <w:szCs w:val="21"/>
                    </w:rPr>
                  </w:pPr>
                </w:p>
              </w:tc>
              <w:tc>
                <w:tcPr>
                  <w:tcW w:w="0" w:type="auto"/>
                  <w:vMerge w:val="continue"/>
                  <w:vAlign w:val="center"/>
                </w:tcPr>
                <w:p>
                  <w:pPr>
                    <w:widowControl/>
                    <w:adjustRightInd w:val="0"/>
                    <w:snapToGrid w:val="0"/>
                    <w:jc w:val="center"/>
                    <w:rPr>
                      <w:szCs w:val="21"/>
                    </w:rPr>
                  </w:pPr>
                </w:p>
              </w:tc>
              <w:tc>
                <w:tcPr>
                  <w:tcW w:w="0" w:type="auto"/>
                  <w:vMerge w:val="restart"/>
                  <w:vAlign w:val="center"/>
                </w:tcPr>
                <w:p>
                  <w:pPr>
                    <w:adjustRightInd w:val="0"/>
                    <w:snapToGrid w:val="0"/>
                    <w:jc w:val="center"/>
                    <w:rPr>
                      <w:szCs w:val="21"/>
                    </w:rPr>
                  </w:pPr>
                  <w:r>
                    <w:rPr>
                      <w:szCs w:val="21"/>
                    </w:rPr>
                    <w:t>大气环境高排放重点管控区、</w:t>
                  </w:r>
                  <w:r>
                    <w:rPr>
                      <w:rFonts w:hint="eastAsia"/>
                      <w:szCs w:val="21"/>
                    </w:rPr>
                    <w:t>水</w:t>
                  </w:r>
                  <w:r>
                    <w:rPr>
                      <w:szCs w:val="21"/>
                    </w:rPr>
                    <w:t>环境城镇生活重点管控区、抚宁</w:t>
                  </w:r>
                  <w:r>
                    <w:rPr>
                      <w:rFonts w:hint="eastAsia"/>
                      <w:szCs w:val="21"/>
                    </w:rPr>
                    <w:t>经济</w:t>
                  </w:r>
                  <w:r>
                    <w:rPr>
                      <w:szCs w:val="21"/>
                    </w:rPr>
                    <w:t>开发区、地下水风险重点管控区</w:t>
                  </w:r>
                </w:p>
              </w:tc>
              <w:tc>
                <w:tcPr>
                  <w:tcW w:w="0" w:type="auto"/>
                  <w:vAlign w:val="center"/>
                </w:tcPr>
                <w:p>
                  <w:pPr>
                    <w:widowControl/>
                    <w:adjustRightInd w:val="0"/>
                    <w:snapToGrid w:val="0"/>
                    <w:jc w:val="center"/>
                    <w:rPr>
                      <w:kern w:val="0"/>
                      <w:szCs w:val="21"/>
                    </w:rPr>
                  </w:pPr>
                  <w:r>
                    <w:rPr>
                      <w:kern w:val="0"/>
                      <w:szCs w:val="21"/>
                    </w:rPr>
                    <w:t>空间布局约束</w:t>
                  </w:r>
                </w:p>
              </w:tc>
              <w:tc>
                <w:tcPr>
                  <w:tcW w:w="0" w:type="auto"/>
                  <w:vAlign w:val="center"/>
                </w:tcPr>
                <w:p>
                  <w:pPr>
                    <w:autoSpaceDE w:val="0"/>
                    <w:autoSpaceDN w:val="0"/>
                    <w:adjustRightInd w:val="0"/>
                    <w:snapToGrid w:val="0"/>
                    <w:jc w:val="center"/>
                    <w:rPr>
                      <w:szCs w:val="21"/>
                    </w:rPr>
                  </w:pPr>
                  <w:r>
                    <w:rPr>
                      <w:rFonts w:hint="eastAsia"/>
                      <w:szCs w:val="21"/>
                    </w:rPr>
                    <w:t>1、在卫生防护距离内不适宜新建居民区、医院、科研、学校等环境敏感点。2、禁止新建和扩建金属表面处理及热加工处理项目及皮毛及皮革鞣制加工项目。</w:t>
                  </w:r>
                </w:p>
              </w:tc>
              <w:tc>
                <w:tcPr>
                  <w:tcW w:w="0" w:type="auto"/>
                  <w:vAlign w:val="center"/>
                </w:tcPr>
                <w:p>
                  <w:pPr>
                    <w:widowControl/>
                    <w:adjustRightInd w:val="0"/>
                    <w:snapToGrid w:val="0"/>
                    <w:jc w:val="center"/>
                    <w:rPr>
                      <w:szCs w:val="21"/>
                    </w:rPr>
                  </w:pPr>
                  <w:r>
                    <w:rPr>
                      <w:kern w:val="0"/>
                      <w:szCs w:val="21"/>
                    </w:rPr>
                    <w:t>符合准入要求，本项目不属于禁止新建和扩建的项目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0" w:type="auto"/>
                  <w:vMerge w:val="continue"/>
                  <w:vAlign w:val="center"/>
                </w:tcPr>
                <w:p>
                  <w:pPr>
                    <w:widowControl/>
                    <w:adjustRightInd w:val="0"/>
                    <w:snapToGrid w:val="0"/>
                    <w:jc w:val="center"/>
                    <w:rPr>
                      <w:szCs w:val="21"/>
                    </w:rPr>
                  </w:pPr>
                </w:p>
              </w:tc>
              <w:tc>
                <w:tcPr>
                  <w:tcW w:w="0" w:type="auto"/>
                  <w:vMerge w:val="continue"/>
                  <w:vAlign w:val="center"/>
                </w:tcPr>
                <w:p>
                  <w:pPr>
                    <w:widowControl/>
                    <w:adjustRightInd w:val="0"/>
                    <w:snapToGrid w:val="0"/>
                    <w:jc w:val="center"/>
                    <w:rPr>
                      <w:szCs w:val="21"/>
                    </w:rPr>
                  </w:pPr>
                </w:p>
              </w:tc>
              <w:tc>
                <w:tcPr>
                  <w:tcW w:w="0" w:type="auto"/>
                  <w:vMerge w:val="continue"/>
                  <w:vAlign w:val="center"/>
                </w:tcPr>
                <w:p>
                  <w:pPr>
                    <w:adjustRightInd w:val="0"/>
                    <w:snapToGrid w:val="0"/>
                    <w:jc w:val="center"/>
                    <w:rPr>
                      <w:kern w:val="0"/>
                      <w:szCs w:val="21"/>
                    </w:rPr>
                  </w:pPr>
                </w:p>
              </w:tc>
              <w:tc>
                <w:tcPr>
                  <w:tcW w:w="0" w:type="auto"/>
                  <w:vAlign w:val="center"/>
                </w:tcPr>
                <w:p>
                  <w:pPr>
                    <w:widowControl/>
                    <w:adjustRightInd w:val="0"/>
                    <w:snapToGrid w:val="0"/>
                    <w:jc w:val="center"/>
                    <w:rPr>
                      <w:kern w:val="0"/>
                      <w:szCs w:val="21"/>
                    </w:rPr>
                  </w:pPr>
                  <w:r>
                    <w:rPr>
                      <w:kern w:val="0"/>
                      <w:szCs w:val="21"/>
                    </w:rPr>
                    <w:t>污染物排放管控</w:t>
                  </w:r>
                </w:p>
              </w:tc>
              <w:tc>
                <w:tcPr>
                  <w:tcW w:w="0" w:type="auto"/>
                  <w:vAlign w:val="center"/>
                </w:tcPr>
                <w:p>
                  <w:pPr>
                    <w:autoSpaceDE w:val="0"/>
                    <w:autoSpaceDN w:val="0"/>
                    <w:adjustRightInd w:val="0"/>
                    <w:snapToGrid w:val="0"/>
                    <w:jc w:val="center"/>
                    <w:rPr>
                      <w:szCs w:val="21"/>
                    </w:rPr>
                  </w:pPr>
                  <w:r>
                    <w:rPr>
                      <w:rFonts w:hint="eastAsia"/>
                      <w:szCs w:val="21"/>
                    </w:rPr>
                    <w:t>1、严格落实规划环评及其批复文件制定的环保措施。2、对 VOCs 排放集中的工业园区和产业聚集区，探索建立废气处理、排放检测、平台监控、运营维护一体</w:t>
                  </w:r>
                </w:p>
                <w:p>
                  <w:pPr>
                    <w:autoSpaceDE w:val="0"/>
                    <w:autoSpaceDN w:val="0"/>
                    <w:adjustRightInd w:val="0"/>
                    <w:snapToGrid w:val="0"/>
                    <w:jc w:val="center"/>
                    <w:rPr>
                      <w:szCs w:val="21"/>
                    </w:rPr>
                  </w:pPr>
                  <w:r>
                    <w:rPr>
                      <w:rFonts w:hint="eastAsia"/>
                      <w:szCs w:val="21"/>
                    </w:rPr>
                    <w:t>的第三方治理模式。3、涉 VOCs 排放工业企业污染物排放应达到《工业企业挥发性有机物排放控制标准》（DB13/2322-2016）及《挥发性有机物无组织排放控制标准》（GB37822-2019）相关排放要求。4、开发区内锅炉污染物排放应达到《锅炉大气污染物排放标准》（DB13/5161-2020）要求。</w:t>
                  </w:r>
                </w:p>
              </w:tc>
              <w:tc>
                <w:tcPr>
                  <w:tcW w:w="0" w:type="auto"/>
                  <w:vAlign w:val="center"/>
                </w:tcPr>
                <w:p>
                  <w:pPr>
                    <w:widowControl/>
                    <w:adjustRightInd w:val="0"/>
                    <w:snapToGrid w:val="0"/>
                    <w:jc w:val="center"/>
                    <w:rPr>
                      <w:szCs w:val="21"/>
                    </w:rPr>
                  </w:pPr>
                  <w:r>
                    <w:rPr>
                      <w:szCs w:val="21"/>
                    </w:rPr>
                    <w:t>本项目不涉及</w:t>
                  </w:r>
                  <w:r>
                    <w:rPr>
                      <w:rFonts w:hint="eastAsia"/>
                      <w:szCs w:val="21"/>
                    </w:rPr>
                    <w:t>VOCs排放以及锅炉废气的排放，符合要求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0" w:type="auto"/>
                  <w:vMerge w:val="continue"/>
                  <w:vAlign w:val="center"/>
                </w:tcPr>
                <w:p>
                  <w:pPr>
                    <w:widowControl/>
                    <w:adjustRightInd w:val="0"/>
                    <w:snapToGrid w:val="0"/>
                    <w:jc w:val="center"/>
                    <w:rPr>
                      <w:szCs w:val="21"/>
                    </w:rPr>
                  </w:pPr>
                </w:p>
              </w:tc>
              <w:tc>
                <w:tcPr>
                  <w:tcW w:w="0" w:type="auto"/>
                  <w:vMerge w:val="continue"/>
                  <w:vAlign w:val="center"/>
                </w:tcPr>
                <w:p>
                  <w:pPr>
                    <w:widowControl/>
                    <w:adjustRightInd w:val="0"/>
                    <w:snapToGrid w:val="0"/>
                    <w:jc w:val="center"/>
                    <w:rPr>
                      <w:szCs w:val="21"/>
                    </w:rPr>
                  </w:pPr>
                </w:p>
              </w:tc>
              <w:tc>
                <w:tcPr>
                  <w:tcW w:w="0" w:type="auto"/>
                  <w:vMerge w:val="continue"/>
                  <w:vAlign w:val="center"/>
                </w:tcPr>
                <w:p>
                  <w:pPr>
                    <w:adjustRightInd w:val="0"/>
                    <w:snapToGrid w:val="0"/>
                    <w:jc w:val="center"/>
                    <w:rPr>
                      <w:kern w:val="0"/>
                      <w:szCs w:val="21"/>
                    </w:rPr>
                  </w:pPr>
                </w:p>
              </w:tc>
              <w:tc>
                <w:tcPr>
                  <w:tcW w:w="0" w:type="auto"/>
                  <w:vAlign w:val="center"/>
                </w:tcPr>
                <w:p>
                  <w:pPr>
                    <w:widowControl/>
                    <w:adjustRightInd w:val="0"/>
                    <w:snapToGrid w:val="0"/>
                    <w:jc w:val="center"/>
                    <w:rPr>
                      <w:kern w:val="0"/>
                      <w:szCs w:val="21"/>
                    </w:rPr>
                  </w:pPr>
                  <w:r>
                    <w:rPr>
                      <w:kern w:val="0"/>
                      <w:szCs w:val="21"/>
                    </w:rPr>
                    <w:t>环境风险防范</w:t>
                  </w:r>
                </w:p>
              </w:tc>
              <w:tc>
                <w:tcPr>
                  <w:tcW w:w="0" w:type="auto"/>
                  <w:vAlign w:val="center"/>
                </w:tcPr>
                <w:p>
                  <w:pPr>
                    <w:autoSpaceDE w:val="0"/>
                    <w:autoSpaceDN w:val="0"/>
                    <w:adjustRightInd w:val="0"/>
                    <w:snapToGrid w:val="0"/>
                    <w:jc w:val="center"/>
                    <w:rPr>
                      <w:szCs w:val="21"/>
                    </w:rPr>
                  </w:pPr>
                  <w:r>
                    <w:rPr>
                      <w:rFonts w:hint="eastAsia"/>
                      <w:szCs w:val="21"/>
                    </w:rPr>
                    <w:t>1、严格落实规划环评及其批复文件制定的环境风险防范措施。2、开发区及入区企业需组织编制《环境风险应急预案》，成立应急组织机构，定期开展应急演练，提高区域环境风险防范能力。3、建立有效的事故风险防范体系，使开发区建设和环境保护协调发展。4、禁止建设存在重大环境安全隐患的工业项目。5、确定地下水污染来源和路径，进行污染风险评估。</w:t>
                  </w:r>
                </w:p>
              </w:tc>
              <w:tc>
                <w:tcPr>
                  <w:tcW w:w="0" w:type="auto"/>
                  <w:vAlign w:val="center"/>
                </w:tcPr>
                <w:p>
                  <w:pPr>
                    <w:widowControl/>
                    <w:adjustRightInd w:val="0"/>
                    <w:snapToGrid w:val="0"/>
                    <w:jc w:val="center"/>
                    <w:rPr>
                      <w:szCs w:val="21"/>
                    </w:rPr>
                  </w:pPr>
                  <w:r>
                    <w:rPr>
                      <w:kern w:val="0"/>
                      <w:szCs w:val="21"/>
                    </w:rPr>
                    <w:t>本企业严格落</w:t>
                  </w:r>
                  <w:r>
                    <w:rPr>
                      <w:rFonts w:hint="eastAsia"/>
                      <w:kern w:val="0"/>
                      <w:szCs w:val="21"/>
                    </w:rPr>
                    <w:t>实制定的环境风险防范措施</w:t>
                  </w:r>
                  <w:r>
                    <w:rPr>
                      <w:szCs w:val="21"/>
                    </w:rPr>
                    <w:t>，建立环境保护制度，</w:t>
                  </w:r>
                  <w:r>
                    <w:rPr>
                      <w:kern w:val="0"/>
                      <w:szCs w:val="21"/>
                    </w:rPr>
                    <w:t>符合准入要求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trPr>
              <w:tc>
                <w:tcPr>
                  <w:tcW w:w="0" w:type="auto"/>
                  <w:vMerge w:val="continue"/>
                  <w:vAlign w:val="center"/>
                </w:tcPr>
                <w:p>
                  <w:pPr>
                    <w:widowControl/>
                    <w:adjustRightInd w:val="0"/>
                    <w:snapToGrid w:val="0"/>
                    <w:jc w:val="center"/>
                    <w:rPr>
                      <w:szCs w:val="21"/>
                    </w:rPr>
                  </w:pPr>
                </w:p>
              </w:tc>
              <w:tc>
                <w:tcPr>
                  <w:tcW w:w="0" w:type="auto"/>
                  <w:vMerge w:val="continue"/>
                  <w:vAlign w:val="center"/>
                </w:tcPr>
                <w:p>
                  <w:pPr>
                    <w:widowControl/>
                    <w:adjustRightInd w:val="0"/>
                    <w:snapToGrid w:val="0"/>
                    <w:jc w:val="center"/>
                    <w:rPr>
                      <w:szCs w:val="21"/>
                    </w:rPr>
                  </w:pPr>
                </w:p>
              </w:tc>
              <w:tc>
                <w:tcPr>
                  <w:tcW w:w="0" w:type="auto"/>
                  <w:vMerge w:val="continue"/>
                  <w:vAlign w:val="center"/>
                </w:tcPr>
                <w:p>
                  <w:pPr>
                    <w:widowControl/>
                    <w:adjustRightInd w:val="0"/>
                    <w:snapToGrid w:val="0"/>
                    <w:jc w:val="center"/>
                    <w:rPr>
                      <w:szCs w:val="21"/>
                    </w:rPr>
                  </w:pPr>
                </w:p>
              </w:tc>
              <w:tc>
                <w:tcPr>
                  <w:tcW w:w="0" w:type="auto"/>
                  <w:vAlign w:val="center"/>
                </w:tcPr>
                <w:p>
                  <w:pPr>
                    <w:widowControl/>
                    <w:adjustRightInd w:val="0"/>
                    <w:snapToGrid w:val="0"/>
                    <w:jc w:val="center"/>
                    <w:rPr>
                      <w:kern w:val="0"/>
                      <w:szCs w:val="21"/>
                    </w:rPr>
                  </w:pPr>
                  <w:r>
                    <w:rPr>
                      <w:kern w:val="0"/>
                      <w:szCs w:val="21"/>
                    </w:rPr>
                    <w:t>资源利用率</w:t>
                  </w:r>
                </w:p>
              </w:tc>
              <w:tc>
                <w:tcPr>
                  <w:tcW w:w="0" w:type="auto"/>
                  <w:vAlign w:val="center"/>
                </w:tcPr>
                <w:p>
                  <w:pPr>
                    <w:autoSpaceDE w:val="0"/>
                    <w:autoSpaceDN w:val="0"/>
                    <w:adjustRightInd w:val="0"/>
                    <w:snapToGrid w:val="0"/>
                    <w:jc w:val="center"/>
                    <w:rPr>
                      <w:szCs w:val="21"/>
                    </w:rPr>
                  </w:pPr>
                  <w:r>
                    <w:rPr>
                      <w:rFonts w:hint="eastAsia"/>
                      <w:szCs w:val="21"/>
                    </w:rPr>
                    <w:t>1、中水回用率≥30%。2、园区工业水重复利用率≥75%。</w:t>
                  </w:r>
                </w:p>
              </w:tc>
              <w:tc>
                <w:tcPr>
                  <w:tcW w:w="0" w:type="auto"/>
                  <w:vAlign w:val="center"/>
                </w:tcPr>
                <w:p>
                  <w:pPr>
                    <w:widowControl/>
                    <w:adjustRightInd w:val="0"/>
                    <w:snapToGrid w:val="0"/>
                    <w:jc w:val="center"/>
                    <w:rPr>
                      <w:szCs w:val="21"/>
                    </w:rPr>
                  </w:pPr>
                  <w:r>
                    <w:rPr>
                      <w:kern w:val="0"/>
                      <w:szCs w:val="21"/>
                    </w:rPr>
                    <w:t>本项目生产废水经过处理后全部回用于生产，无废水外排，中水</w:t>
                  </w:r>
                  <w:r>
                    <w:rPr>
                      <w:rFonts w:hint="eastAsia"/>
                      <w:szCs w:val="21"/>
                    </w:rPr>
                    <w:t>回用率≥30%，</w:t>
                  </w:r>
                  <w:r>
                    <w:rPr>
                      <w:kern w:val="0"/>
                      <w:szCs w:val="21"/>
                    </w:rPr>
                    <w:t>符合准入要求。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trPr>
              <w:tc>
                <w:tcPr>
                  <w:tcW w:w="0" w:type="auto"/>
                  <w:vMerge w:val="restart"/>
                  <w:vAlign w:val="center"/>
                </w:tcPr>
                <w:p>
                  <w:pPr>
                    <w:widowControl/>
                    <w:adjustRightInd w:val="0"/>
                    <w:snapToGrid w:val="0"/>
                    <w:jc w:val="center"/>
                    <w:rPr>
                      <w:szCs w:val="21"/>
                    </w:rPr>
                  </w:pPr>
                  <w:r>
                    <w:rPr>
                      <w:rFonts w:hint="eastAsia"/>
                      <w:szCs w:val="21"/>
                    </w:rPr>
                    <w:t>5</w:t>
                  </w:r>
                </w:p>
              </w:tc>
              <w:tc>
                <w:tcPr>
                  <w:tcW w:w="0" w:type="auto"/>
                  <w:vMerge w:val="continue"/>
                  <w:vAlign w:val="center"/>
                </w:tcPr>
                <w:p>
                  <w:pPr>
                    <w:widowControl/>
                    <w:adjustRightInd w:val="0"/>
                    <w:snapToGrid w:val="0"/>
                    <w:jc w:val="center"/>
                    <w:rPr>
                      <w:szCs w:val="21"/>
                    </w:rPr>
                  </w:pPr>
                </w:p>
              </w:tc>
              <w:tc>
                <w:tcPr>
                  <w:tcW w:w="0" w:type="auto"/>
                  <w:vMerge w:val="restart"/>
                  <w:vAlign w:val="center"/>
                </w:tcPr>
                <w:p>
                  <w:pPr>
                    <w:adjustRightInd w:val="0"/>
                    <w:snapToGrid w:val="0"/>
                    <w:jc w:val="center"/>
                    <w:rPr>
                      <w:szCs w:val="21"/>
                    </w:rPr>
                  </w:pPr>
                  <w:r>
                    <w:rPr>
                      <w:szCs w:val="21"/>
                    </w:rPr>
                    <w:t>大气环境敏感受体重点管控区、地下水风险重点管控区</w:t>
                  </w:r>
                </w:p>
              </w:tc>
              <w:tc>
                <w:tcPr>
                  <w:tcW w:w="0" w:type="auto"/>
                  <w:vAlign w:val="center"/>
                </w:tcPr>
                <w:p>
                  <w:pPr>
                    <w:widowControl/>
                    <w:adjustRightInd w:val="0"/>
                    <w:snapToGrid w:val="0"/>
                    <w:jc w:val="center"/>
                    <w:rPr>
                      <w:kern w:val="0"/>
                      <w:szCs w:val="21"/>
                    </w:rPr>
                  </w:pPr>
                  <w:r>
                    <w:rPr>
                      <w:kern w:val="0"/>
                      <w:szCs w:val="21"/>
                    </w:rPr>
                    <w:t>空间</w:t>
                  </w:r>
                  <w:r>
                    <w:rPr>
                      <w:rFonts w:hint="eastAsia"/>
                      <w:kern w:val="0"/>
                      <w:szCs w:val="21"/>
                    </w:rPr>
                    <w:t>布局</w:t>
                  </w:r>
                  <w:r>
                    <w:rPr>
                      <w:kern w:val="0"/>
                      <w:szCs w:val="21"/>
                    </w:rPr>
                    <w:t>约束</w:t>
                  </w:r>
                </w:p>
              </w:tc>
              <w:tc>
                <w:tcPr>
                  <w:tcW w:w="0" w:type="auto"/>
                  <w:vAlign w:val="center"/>
                </w:tcPr>
                <w:p>
                  <w:pPr>
                    <w:autoSpaceDE w:val="0"/>
                    <w:autoSpaceDN w:val="0"/>
                    <w:adjustRightInd w:val="0"/>
                    <w:snapToGrid w:val="0"/>
                    <w:jc w:val="center"/>
                    <w:rPr>
                      <w:szCs w:val="21"/>
                    </w:rPr>
                  </w:pPr>
                  <w:r>
                    <w:rPr>
                      <w:rFonts w:hint="eastAsia"/>
                      <w:szCs w:val="21"/>
                    </w:rPr>
                    <w:t>1、新建涉水工业项目须入园进区；全面摸底排查园区外涉水工业企业，确定入园时间表；确因不具备入园条件需原地保留涉水工业企业，须明确保留条件，实施尾水深度治理，排放废水主要污染物浓度必须达到受纳水体环境</w:t>
                  </w:r>
                </w:p>
                <w:p>
                  <w:pPr>
                    <w:autoSpaceDE w:val="0"/>
                    <w:autoSpaceDN w:val="0"/>
                    <w:adjustRightInd w:val="0"/>
                    <w:snapToGrid w:val="0"/>
                    <w:jc w:val="center"/>
                    <w:rPr>
                      <w:szCs w:val="21"/>
                    </w:rPr>
                  </w:pPr>
                  <w:r>
                    <w:rPr>
                      <w:rFonts w:hint="eastAsia"/>
                      <w:szCs w:val="21"/>
                    </w:rPr>
                    <w:t>功能区标准，否则一律关停取缔。2、禁止建设生产和使用高 VOCs 含量的溶剂型涂料、油墨、胶粘剂等项目。</w:t>
                  </w:r>
                </w:p>
              </w:tc>
              <w:tc>
                <w:tcPr>
                  <w:tcW w:w="0" w:type="auto"/>
                  <w:vAlign w:val="center"/>
                </w:tcPr>
                <w:p>
                  <w:pPr>
                    <w:widowControl/>
                    <w:adjustRightInd w:val="0"/>
                    <w:snapToGrid w:val="0"/>
                    <w:jc w:val="center"/>
                    <w:rPr>
                      <w:kern w:val="0"/>
                      <w:szCs w:val="21"/>
                    </w:rPr>
                  </w:pPr>
                  <w:r>
                    <w:rPr>
                      <w:kern w:val="0"/>
                      <w:szCs w:val="21"/>
                    </w:rPr>
                    <w:t>本项目工业废水处理后回用于生产不外排，不涉及</w:t>
                  </w:r>
                  <w:r>
                    <w:rPr>
                      <w:rFonts w:hint="eastAsia"/>
                      <w:kern w:val="0"/>
                      <w:szCs w:val="21"/>
                    </w:rPr>
                    <w:t>VOCs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trPr>
              <w:tc>
                <w:tcPr>
                  <w:tcW w:w="0" w:type="auto"/>
                  <w:vMerge w:val="continue"/>
                  <w:vAlign w:val="center"/>
                </w:tcPr>
                <w:p>
                  <w:pPr>
                    <w:widowControl/>
                    <w:adjustRightInd w:val="0"/>
                    <w:snapToGrid w:val="0"/>
                    <w:jc w:val="center"/>
                    <w:rPr>
                      <w:szCs w:val="21"/>
                    </w:rPr>
                  </w:pPr>
                </w:p>
              </w:tc>
              <w:tc>
                <w:tcPr>
                  <w:tcW w:w="0" w:type="auto"/>
                  <w:vMerge w:val="continue"/>
                  <w:vAlign w:val="center"/>
                </w:tcPr>
                <w:p>
                  <w:pPr>
                    <w:widowControl/>
                    <w:adjustRightInd w:val="0"/>
                    <w:snapToGrid w:val="0"/>
                    <w:jc w:val="center"/>
                    <w:rPr>
                      <w:szCs w:val="21"/>
                    </w:rPr>
                  </w:pPr>
                </w:p>
              </w:tc>
              <w:tc>
                <w:tcPr>
                  <w:tcW w:w="0" w:type="auto"/>
                  <w:vMerge w:val="continue"/>
                  <w:vAlign w:val="center"/>
                </w:tcPr>
                <w:p>
                  <w:pPr>
                    <w:widowControl/>
                    <w:adjustRightInd w:val="0"/>
                    <w:snapToGrid w:val="0"/>
                    <w:jc w:val="center"/>
                    <w:rPr>
                      <w:szCs w:val="21"/>
                    </w:rPr>
                  </w:pPr>
                </w:p>
              </w:tc>
              <w:tc>
                <w:tcPr>
                  <w:tcW w:w="0" w:type="auto"/>
                  <w:vAlign w:val="center"/>
                </w:tcPr>
                <w:p>
                  <w:pPr>
                    <w:widowControl/>
                    <w:adjustRightInd w:val="0"/>
                    <w:snapToGrid w:val="0"/>
                    <w:jc w:val="center"/>
                    <w:rPr>
                      <w:kern w:val="0"/>
                      <w:szCs w:val="21"/>
                    </w:rPr>
                  </w:pPr>
                  <w:r>
                    <w:rPr>
                      <w:kern w:val="0"/>
                      <w:szCs w:val="21"/>
                    </w:rPr>
                    <w:t>污染物排放管控</w:t>
                  </w:r>
                </w:p>
              </w:tc>
              <w:tc>
                <w:tcPr>
                  <w:tcW w:w="0" w:type="auto"/>
                  <w:vAlign w:val="center"/>
                </w:tcPr>
                <w:p>
                  <w:pPr>
                    <w:autoSpaceDE w:val="0"/>
                    <w:autoSpaceDN w:val="0"/>
                    <w:adjustRightInd w:val="0"/>
                    <w:snapToGrid w:val="0"/>
                    <w:jc w:val="center"/>
                    <w:rPr>
                      <w:szCs w:val="21"/>
                    </w:rPr>
                  </w:pPr>
                  <w:r>
                    <w:rPr>
                      <w:rFonts w:hint="eastAsia"/>
                      <w:szCs w:val="21"/>
                    </w:rPr>
                    <w:t>1、塑料行业执行《合成树脂工业污染物排放标准》（GB31572-2015）、《工业企业挥发性有机物排放控制标准》（DB13/2322-2016）及《挥发性有机物无组织排放控制标准》（GB37822-2019）相关排放要求。</w:t>
                  </w:r>
                </w:p>
              </w:tc>
              <w:tc>
                <w:tcPr>
                  <w:tcW w:w="0" w:type="auto"/>
                  <w:vAlign w:val="center"/>
                </w:tcPr>
                <w:p>
                  <w:pPr>
                    <w:widowControl/>
                    <w:adjustRightInd w:val="0"/>
                    <w:snapToGrid w:val="0"/>
                    <w:jc w:val="center"/>
                    <w:rPr>
                      <w:kern w:val="0"/>
                      <w:szCs w:val="21"/>
                    </w:rPr>
                  </w:pPr>
                  <w:r>
                    <w:rPr>
                      <w:kern w:val="0"/>
                      <w:szCs w:val="21"/>
                    </w:rPr>
                    <w:t>本项目仅污水处理系统涉及臭气，不涉及有机废气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trPr>
              <w:tc>
                <w:tcPr>
                  <w:tcW w:w="0" w:type="auto"/>
                  <w:vMerge w:val="continue"/>
                  <w:vAlign w:val="center"/>
                </w:tcPr>
                <w:p>
                  <w:pPr>
                    <w:widowControl/>
                    <w:adjustRightInd w:val="0"/>
                    <w:snapToGrid w:val="0"/>
                    <w:jc w:val="center"/>
                    <w:rPr>
                      <w:szCs w:val="21"/>
                    </w:rPr>
                  </w:pPr>
                </w:p>
              </w:tc>
              <w:tc>
                <w:tcPr>
                  <w:tcW w:w="0" w:type="auto"/>
                  <w:vMerge w:val="continue"/>
                  <w:vAlign w:val="center"/>
                </w:tcPr>
                <w:p>
                  <w:pPr>
                    <w:widowControl/>
                    <w:adjustRightInd w:val="0"/>
                    <w:snapToGrid w:val="0"/>
                    <w:jc w:val="center"/>
                    <w:rPr>
                      <w:szCs w:val="21"/>
                    </w:rPr>
                  </w:pPr>
                </w:p>
              </w:tc>
              <w:tc>
                <w:tcPr>
                  <w:tcW w:w="0" w:type="auto"/>
                  <w:vMerge w:val="continue"/>
                  <w:vAlign w:val="center"/>
                </w:tcPr>
                <w:p>
                  <w:pPr>
                    <w:widowControl/>
                    <w:adjustRightInd w:val="0"/>
                    <w:snapToGrid w:val="0"/>
                    <w:jc w:val="center"/>
                    <w:rPr>
                      <w:szCs w:val="21"/>
                    </w:rPr>
                  </w:pPr>
                </w:p>
              </w:tc>
              <w:tc>
                <w:tcPr>
                  <w:tcW w:w="0" w:type="auto"/>
                  <w:vAlign w:val="center"/>
                </w:tcPr>
                <w:p>
                  <w:pPr>
                    <w:widowControl/>
                    <w:adjustRightInd w:val="0"/>
                    <w:snapToGrid w:val="0"/>
                    <w:jc w:val="center"/>
                    <w:rPr>
                      <w:kern w:val="0"/>
                      <w:szCs w:val="21"/>
                    </w:rPr>
                  </w:pPr>
                  <w:r>
                    <w:rPr>
                      <w:kern w:val="0"/>
                      <w:szCs w:val="21"/>
                    </w:rPr>
                    <w:t>环境风险防控</w:t>
                  </w:r>
                </w:p>
              </w:tc>
              <w:tc>
                <w:tcPr>
                  <w:tcW w:w="0" w:type="auto"/>
                  <w:vAlign w:val="center"/>
                </w:tcPr>
                <w:p>
                  <w:pPr>
                    <w:autoSpaceDE w:val="0"/>
                    <w:autoSpaceDN w:val="0"/>
                    <w:adjustRightInd w:val="0"/>
                    <w:snapToGrid w:val="0"/>
                    <w:jc w:val="center"/>
                    <w:rPr>
                      <w:szCs w:val="21"/>
                    </w:rPr>
                  </w:pPr>
                  <w:r>
                    <w:rPr>
                      <w:rFonts w:hint="eastAsia"/>
                      <w:szCs w:val="21"/>
                    </w:rPr>
                    <w:t>1、确定地下水污染来源和路径，进行污染风险评估。</w:t>
                  </w:r>
                </w:p>
              </w:tc>
              <w:tc>
                <w:tcPr>
                  <w:tcW w:w="0" w:type="auto"/>
                  <w:vAlign w:val="center"/>
                </w:tcPr>
                <w:p>
                  <w:pPr>
                    <w:widowControl/>
                    <w:adjustRightInd w:val="0"/>
                    <w:snapToGrid w:val="0"/>
                    <w:jc w:val="center"/>
                    <w:rPr>
                      <w:kern w:val="0"/>
                      <w:szCs w:val="21"/>
                    </w:rPr>
                  </w:pPr>
                  <w:r>
                    <w:rPr>
                      <w:kern w:val="0"/>
                      <w:szCs w:val="21"/>
                    </w:rPr>
                    <w:t>本项目采用的</w:t>
                  </w:r>
                  <w:r>
                    <w:rPr>
                      <w:rFonts w:hint="eastAsia"/>
                      <w:kern w:val="0"/>
                      <w:szCs w:val="21"/>
                    </w:rPr>
                    <w:t>毛家</w:t>
                  </w:r>
                  <w:r>
                    <w:rPr>
                      <w:kern w:val="0"/>
                      <w:szCs w:val="21"/>
                    </w:rPr>
                    <w:t>营村的自来水，且本项已采取防渗措施</w:t>
                  </w:r>
                </w:p>
              </w:tc>
            </w:tr>
          </w:tbl>
          <w:p>
            <w:pPr>
              <w:numPr>
                <w:ilvl w:val="0"/>
                <w:numId w:val="1"/>
              </w:numPr>
              <w:autoSpaceDE w:val="0"/>
              <w:autoSpaceDN w:val="0"/>
              <w:adjustRightInd w:val="0"/>
              <w:snapToGrid w:val="0"/>
              <w:spacing w:line="360" w:lineRule="auto"/>
              <w:jc w:val="left"/>
              <w:rPr>
                <w:rFonts w:ascii="宋体" w:hAnsi="宋体" w:eastAsia="宋体" w:cs="宋体"/>
                <w:kern w:val="0"/>
                <w:szCs w:val="21"/>
              </w:rPr>
            </w:pPr>
            <w:r>
              <w:rPr>
                <w:rFonts w:ascii="宋体" w:hAnsi="宋体" w:eastAsia="宋体" w:cs="宋体"/>
                <w:kern w:val="0"/>
                <w:szCs w:val="21"/>
              </w:rPr>
              <w:t>与相关法</w:t>
            </w:r>
            <w:r>
              <w:rPr>
                <w:rFonts w:hint="eastAsia" w:ascii="宋体" w:hAnsi="宋体" w:eastAsia="宋体" w:cs="宋体"/>
                <w:kern w:val="0"/>
                <w:szCs w:val="21"/>
              </w:rPr>
              <w:t>律法规、规划的相符性分析</w:t>
            </w:r>
          </w:p>
          <w:p>
            <w:pPr>
              <w:autoSpaceDE w:val="0"/>
              <w:autoSpaceDN w:val="0"/>
              <w:adjustRightInd w:val="0"/>
              <w:snapToGrid w:val="0"/>
              <w:spacing w:line="360" w:lineRule="auto"/>
              <w:ind w:firstLine="420"/>
              <w:jc w:val="left"/>
              <w:rPr>
                <w:rFonts w:ascii="Times New Roman" w:hAnsi="Times New Roman" w:eastAsia="宋体" w:cs="Times New Roman"/>
                <w:snapToGrid w:val="0"/>
                <w:kern w:val="0"/>
                <w:szCs w:val="25"/>
              </w:rPr>
            </w:pPr>
            <w:r>
              <w:rPr>
                <w:rFonts w:hint="eastAsia" w:ascii="Times New Roman" w:hAnsi="Times New Roman" w:eastAsia="宋体" w:cs="Times New Roman"/>
                <w:snapToGrid w:val="0"/>
                <w:kern w:val="0"/>
                <w:szCs w:val="25"/>
              </w:rPr>
              <w:t>本项目通过与国家相关产业政策、省级相关法律法规及其他政策要求进行对比，项目建成符合国家及地方相关产业政策要求。详见下表。</w:t>
            </w:r>
          </w:p>
          <w:p>
            <w:pPr>
              <w:autoSpaceDE w:val="0"/>
              <w:autoSpaceDN w:val="0"/>
              <w:adjustRightInd w:val="0"/>
              <w:snapToGrid w:val="0"/>
              <w:ind w:left="360"/>
              <w:jc w:val="center"/>
              <w:rPr>
                <w:rFonts w:ascii="Times New Roman" w:hAnsi="宋体" w:eastAsia="宋体" w:cs="Times New Roman"/>
                <w:b/>
                <w:kern w:val="0"/>
                <w:szCs w:val="21"/>
              </w:rPr>
            </w:pPr>
          </w:p>
          <w:p>
            <w:pPr>
              <w:autoSpaceDE w:val="0"/>
              <w:autoSpaceDN w:val="0"/>
              <w:adjustRightInd w:val="0"/>
              <w:snapToGrid w:val="0"/>
              <w:ind w:left="360"/>
              <w:jc w:val="center"/>
              <w:rPr>
                <w:rFonts w:ascii="Times New Roman" w:hAnsi="Times New Roman" w:eastAsia="宋体" w:cs="Times New Roman"/>
                <w:b/>
                <w:kern w:val="0"/>
                <w:szCs w:val="21"/>
              </w:rPr>
            </w:pPr>
            <w:r>
              <w:rPr>
                <w:rFonts w:ascii="Times New Roman" w:hAnsi="宋体" w:eastAsia="宋体" w:cs="Times New Roman"/>
                <w:b/>
                <w:kern w:val="0"/>
                <w:szCs w:val="21"/>
              </w:rPr>
              <w:t>表</w:t>
            </w:r>
            <w:r>
              <w:rPr>
                <w:rFonts w:hint="eastAsia" w:ascii="Times New Roman" w:hAnsi="Times New Roman" w:eastAsia="宋体" w:cs="Times New Roman"/>
                <w:b/>
                <w:kern w:val="0"/>
                <w:szCs w:val="21"/>
              </w:rPr>
              <w:t xml:space="preserve">3 </w:t>
            </w:r>
            <w:r>
              <w:rPr>
                <w:rFonts w:ascii="Times New Roman" w:hAnsi="宋体" w:eastAsia="宋体" w:cs="Times New Roman"/>
                <w:b/>
                <w:kern w:val="0"/>
                <w:szCs w:val="21"/>
              </w:rPr>
              <w:t>与相关法律法规、规划的符合性分析一览表</w:t>
            </w: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5"/>
              <w:gridCol w:w="2018"/>
              <w:gridCol w:w="1583"/>
              <w:gridCol w:w="4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96" w:type="pct"/>
                  <w:gridSpan w:val="2"/>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相关法律、法规、规划、</w:t>
                  </w:r>
                  <w:r>
                    <w:rPr>
                      <w:rFonts w:ascii="Times New Roman" w:hAnsi="Times New Roman" w:eastAsia="宋体" w:cs="Times New Roman"/>
                      <w:kern w:val="0"/>
                      <w:szCs w:val="21"/>
                    </w:rPr>
                    <w:cr/>
                  </w:r>
                  <w:r>
                    <w:rPr>
                      <w:rFonts w:ascii="Times New Roman" w:hAnsi="Times New Roman" w:eastAsia="宋体" w:cs="Times New Roman"/>
                      <w:kern w:val="0"/>
                      <w:szCs w:val="21"/>
                    </w:rPr>
                    <w:t>业政策等相关内</w:t>
                  </w:r>
                </w:p>
              </w:tc>
              <w:tc>
                <w:tcPr>
                  <w:tcW w:w="1264"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本项目建设情况</w:t>
                  </w:r>
                </w:p>
              </w:tc>
              <w:tc>
                <w:tcPr>
                  <w:tcW w:w="340" w:type="pct"/>
                  <w:shd w:val="clear" w:color="auto" w:fill="auto"/>
                  <w:vAlign w:val="center"/>
                </w:tcPr>
                <w:p>
                  <w:pPr>
                    <w:autoSpaceDE w:val="0"/>
                    <w:autoSpaceDN w:val="0"/>
                    <w:adjustRightInd w:val="0"/>
                    <w:jc w:val="center"/>
                    <w:rPr>
                      <w:rFonts w:ascii="Times New Roman" w:hAnsi="Times New Roman" w:eastAsia="宋体" w:cs="Times New Roman"/>
                      <w:kern w:val="0"/>
                      <w:szCs w:val="21"/>
                    </w:rPr>
                  </w:pPr>
                  <w:r>
                    <w:rPr>
                      <w:rFonts w:ascii="Times New Roman" w:hAnsi="Times New Roman" w:eastAsia="宋体" w:cs="Times New Roman"/>
                      <w:kern w:val="0"/>
                      <w:szCs w:val="21"/>
                    </w:rPr>
                    <w:t>分析</w:t>
                  </w:r>
                </w:p>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pct"/>
                  <w:vMerge w:val="restar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河北省发展和改革委员会河北省生态环境厅关于印发《关于进一步加强塑料污染治理的实施方案》的通知（冀发改环资[2020]1016 号）</w:t>
                  </w:r>
                </w:p>
              </w:tc>
              <w:tc>
                <w:tcPr>
                  <w:tcW w:w="1611" w:type="pct"/>
                  <w:shd w:val="clear" w:color="auto" w:fill="auto"/>
                  <w:vAlign w:val="center"/>
                </w:tcPr>
                <w:p>
                  <w:pPr>
                    <w:autoSpaceDE w:val="0"/>
                    <w:autoSpaceDN w:val="0"/>
                    <w:adjustRightInd w:val="0"/>
                    <w:jc w:val="left"/>
                    <w:rPr>
                      <w:rFonts w:ascii="Times New Roman" w:hAnsi="Times New Roman" w:eastAsia="宋体" w:cs="Times New Roman"/>
                      <w:kern w:val="0"/>
                      <w:szCs w:val="21"/>
                    </w:rPr>
                  </w:pPr>
                  <w:r>
                    <w:rPr>
                      <w:rFonts w:ascii="Times New Roman" w:hAnsi="Times New Roman" w:eastAsia="宋体" w:cs="Times New Roman"/>
                      <w:kern w:val="0"/>
                      <w:szCs w:val="21"/>
                    </w:rPr>
                    <w:t>（一）禁止、限制部分塑料制品的生产、销售和使用。</w:t>
                  </w:r>
                  <w:r>
                    <w:rPr>
                      <w:rFonts w:ascii="Times New Roman" w:hAnsi="Times New Roman" w:eastAsia="TimesNewRomanPSMT" w:cs="Times New Roman"/>
                      <w:kern w:val="0"/>
                      <w:szCs w:val="21"/>
                    </w:rPr>
                    <w:t>1.</w:t>
                  </w:r>
                  <w:r>
                    <w:rPr>
                      <w:rFonts w:ascii="Times New Roman" w:hAnsi="Times New Roman" w:eastAsia="宋体" w:cs="Times New Roman"/>
                      <w:kern w:val="0"/>
                      <w:szCs w:val="21"/>
                    </w:rPr>
                    <w:t>禁止生产、销售的塑料制品。全省范围禁止生产、销售厚度小于</w:t>
                  </w:r>
                  <w:r>
                    <w:rPr>
                      <w:rFonts w:ascii="Times New Roman" w:hAnsi="Times New Roman" w:eastAsia="TimesNewRomanPSMT" w:cs="Times New Roman"/>
                      <w:kern w:val="0"/>
                      <w:szCs w:val="21"/>
                    </w:rPr>
                    <w:t xml:space="preserve">0.025 </w:t>
                  </w:r>
                  <w:r>
                    <w:rPr>
                      <w:rFonts w:ascii="Times New Roman" w:hAnsi="Times New Roman" w:eastAsia="宋体" w:cs="Times New Roman"/>
                      <w:kern w:val="0"/>
                      <w:szCs w:val="21"/>
                    </w:rPr>
                    <w:t>毫米的超薄塑料购物袋，禁止生产、销售厚度小于</w:t>
                  </w:r>
                  <w:r>
                    <w:rPr>
                      <w:rFonts w:ascii="Times New Roman" w:hAnsi="Times New Roman" w:eastAsia="TimesNewRomanPSMT" w:cs="Times New Roman"/>
                      <w:kern w:val="0"/>
                      <w:szCs w:val="21"/>
                    </w:rPr>
                    <w:t xml:space="preserve">0.01 </w:t>
                  </w:r>
                  <w:r>
                    <w:rPr>
                      <w:rFonts w:ascii="Times New Roman" w:hAnsi="Times New Roman" w:eastAsia="宋体" w:cs="Times New Roman"/>
                      <w:kern w:val="0"/>
                      <w:szCs w:val="21"/>
                    </w:rPr>
                    <w:t>毫米的聚乙烯农用地膜。禁止以医疗废物为原料制造塑料制品，加强医疗废物无害化处置能力建设。全面禁止废塑料进口，严格落实《进口废物管理目录》，严禁境外废塑料过境、入境。到</w:t>
                  </w:r>
                  <w:r>
                    <w:rPr>
                      <w:rFonts w:ascii="Times New Roman" w:hAnsi="Times New Roman" w:eastAsia="TimesNewRomanPSMT" w:cs="Times New Roman"/>
                      <w:kern w:val="0"/>
                      <w:szCs w:val="21"/>
                    </w:rPr>
                    <w:t xml:space="preserve">2020 </w:t>
                  </w:r>
                  <w:r>
                    <w:rPr>
                      <w:rFonts w:ascii="Times New Roman" w:hAnsi="Times New Roman" w:eastAsia="宋体" w:cs="Times New Roman"/>
                      <w:kern w:val="0"/>
                      <w:szCs w:val="21"/>
                    </w:rPr>
                    <w:t>年底，全省范围禁止生产、销售一次性发泡塑料餐具、一次性塑料棉签；禁止生产含塑料微珠的日化用品。到</w:t>
                  </w:r>
                  <w:r>
                    <w:rPr>
                      <w:rFonts w:ascii="Times New Roman" w:hAnsi="Times New Roman" w:eastAsia="TimesNewRomanPSMT" w:cs="Times New Roman"/>
                      <w:kern w:val="0"/>
                      <w:szCs w:val="21"/>
                    </w:rPr>
                    <w:t xml:space="preserve">2022 </w:t>
                  </w:r>
                  <w:r>
                    <w:rPr>
                      <w:rFonts w:ascii="Times New Roman" w:hAnsi="Times New Roman" w:eastAsia="宋体" w:cs="Times New Roman"/>
                      <w:kern w:val="0"/>
                      <w:szCs w:val="21"/>
                    </w:rPr>
                    <w:t>年底，全省范围禁止销售含塑料微珠的日化用品。</w:t>
                  </w:r>
                </w:p>
              </w:tc>
              <w:tc>
                <w:tcPr>
                  <w:tcW w:w="1264"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本项目原料均为国内采购，不属于危险废物，不涉及医疗废物。</w:t>
                  </w:r>
                </w:p>
              </w:tc>
              <w:tc>
                <w:tcPr>
                  <w:tcW w:w="340"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pct"/>
                  <w:vMerge w:val="continue"/>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p>
              </w:tc>
              <w:tc>
                <w:tcPr>
                  <w:tcW w:w="1611"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（三）规范塑料废弃物回收利用和处置。2.推进资源化能源化利用。结合污染企业治理，依法关停违反环境保</w:t>
                  </w:r>
                </w:p>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护法律、法规的家庭作坊式塑料废弃物回收利用企业，实现动态“清零”。推动塑料废弃物资源化利用的规范化、集中化和产业化，引导塑料废弃物回收利用企业进园入区，具备条件的地区将废塑料资源化利用项目向国家“城市矿产”基地、资源循环利用基地聚集，实行废水、废气和固体废物统一处置。加快垃圾焚烧发电设施建设，推进分拣成本高、不宜资源化利用的塑料废弃物能源化利用，加强垃圾焚烧发电设施运行管理，严格落实控制焚烧炉内温度、烟气停留时间等措施，确保各类污染物稳定达标排放，最大限度降低塑料垃圾直接填埋量。</w:t>
                  </w:r>
                </w:p>
              </w:tc>
              <w:tc>
                <w:tcPr>
                  <w:tcW w:w="1264" w:type="pct"/>
                  <w:shd w:val="clear" w:color="auto" w:fill="auto"/>
                  <w:vAlign w:val="center"/>
                </w:tcPr>
                <w:p>
                  <w:pPr>
                    <w:autoSpaceDE w:val="0"/>
                    <w:autoSpaceDN w:val="0"/>
                    <w:adjustRightInd w:val="0"/>
                    <w:jc w:val="left"/>
                    <w:rPr>
                      <w:rFonts w:ascii="Times New Roman" w:hAnsi="Times New Roman" w:eastAsia="宋体" w:cs="Times New Roman"/>
                      <w:kern w:val="0"/>
                      <w:szCs w:val="21"/>
                    </w:rPr>
                  </w:pPr>
                  <w:r>
                    <w:rPr>
                      <w:rFonts w:hint="eastAsia" w:ascii="Times New Roman" w:hAnsi="Times New Roman" w:eastAsia="宋体" w:cs="Times New Roman"/>
                      <w:snapToGrid w:val="0"/>
                      <w:kern w:val="0"/>
                      <w:szCs w:val="25"/>
                    </w:rPr>
                    <w:t>本项目租赁抚宁区留守营镇毛家营村村民委员会渤海大修厂用地</w:t>
                  </w:r>
                  <w:r>
                    <w:rPr>
                      <w:rFonts w:ascii="Times New Roman" w:hAnsi="Times New Roman" w:eastAsia="宋体" w:cs="Times New Roman"/>
                      <w:kern w:val="0"/>
                      <w:szCs w:val="21"/>
                    </w:rPr>
                    <w:t>，符合国家有关产业政策，符合定位及选址要求，厂址选择合理。本项目废气、废水、噪声、固体废物经相应措施治理后均可达标排放。</w:t>
                  </w:r>
                </w:p>
              </w:tc>
              <w:tc>
                <w:tcPr>
                  <w:tcW w:w="340"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pct"/>
                  <w:vMerge w:val="restar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《废塑料综合利用行业规范条件》</w:t>
                  </w:r>
                </w:p>
              </w:tc>
              <w:tc>
                <w:tcPr>
                  <w:tcW w:w="1611"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废塑料综合利用企业所涉及的热塑性废塑料原料，不包括受到危险化学品、农药等污染的废弃塑料包装物、废弃一次性医疗用塑料制品等塑料类危险废物，以及氟塑料等特种工程塑料</w:t>
                  </w:r>
                </w:p>
              </w:tc>
              <w:tc>
                <w:tcPr>
                  <w:tcW w:w="1264"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本项目的原材料为</w:t>
                  </w:r>
                  <w:r>
                    <w:rPr>
                      <w:rFonts w:hint="eastAsia" w:ascii="Times New Roman" w:hAnsi="Times New Roman" w:eastAsia="宋体" w:cs="Times New Roman"/>
                      <w:kern w:val="0"/>
                      <w:szCs w:val="21"/>
                    </w:rPr>
                    <w:t>外购的废塑料瓶等生活及食品类废塑料</w:t>
                  </w:r>
                  <w:r>
                    <w:rPr>
                      <w:rFonts w:ascii="Times New Roman" w:hAnsi="Times New Roman" w:eastAsia="宋体" w:cs="Times New Roman"/>
                      <w:kern w:val="0"/>
                      <w:szCs w:val="21"/>
                    </w:rPr>
                    <w:t>，不包括受到危险化学品、农药等</w:t>
                  </w:r>
                  <w:r>
                    <w:rPr>
                      <w:rFonts w:hint="eastAsia" w:ascii="Times New Roman" w:hAnsi="Times New Roman" w:eastAsia="宋体" w:cs="Times New Roman"/>
                      <w:kern w:val="0"/>
                      <w:szCs w:val="21"/>
                    </w:rPr>
                    <w:t>污染</w:t>
                  </w:r>
                  <w:r>
                    <w:rPr>
                      <w:rFonts w:ascii="Times New Roman" w:hAnsi="Times New Roman" w:eastAsia="宋体" w:cs="Times New Roman"/>
                      <w:kern w:val="0"/>
                      <w:szCs w:val="21"/>
                    </w:rPr>
                    <w:t>的</w:t>
                  </w:r>
                  <w:r>
                    <w:rPr>
                      <w:rFonts w:hint="eastAsia" w:ascii="Times New Roman" w:hAnsi="Times New Roman" w:eastAsia="宋体" w:cs="Times New Roman"/>
                      <w:kern w:val="0"/>
                      <w:szCs w:val="21"/>
                    </w:rPr>
                    <w:t>废弃</w:t>
                  </w:r>
                  <w:r>
                    <w:rPr>
                      <w:rFonts w:ascii="Times New Roman" w:hAnsi="Times New Roman" w:eastAsia="宋体" w:cs="Times New Roman"/>
                      <w:kern w:val="0"/>
                      <w:szCs w:val="21"/>
                    </w:rPr>
                    <w:t>塑料包装物、废弃一次性医疗用塑料制品等塑料类危险废物，以及氟塑料等特种工程塑料</w:t>
                  </w:r>
                </w:p>
              </w:tc>
              <w:tc>
                <w:tcPr>
                  <w:tcW w:w="340"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pct"/>
                  <w:vMerge w:val="continue"/>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p>
              </w:tc>
              <w:tc>
                <w:tcPr>
                  <w:tcW w:w="1611"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新建及改造、扩建废塑料加工企业应符合国家产业政策及所在地区土地利用总体规</w:t>
                  </w:r>
                </w:p>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划、城乡建设规划、环境保护、污染防治规划。企业建设应有规范化设计要求，采用节能环保技术及生产装备</w:t>
                  </w:r>
                </w:p>
              </w:tc>
              <w:tc>
                <w:tcPr>
                  <w:tcW w:w="1264"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本项目符合国家、地方产业政策；根据用地规划，项目占地为工业用地；项目符合“三线一单”的要求；本项目严格按照《废塑料综合利用行业规范条件》建设，项目废气、废水、噪声、固废均采用了相应治理措施治理</w:t>
                  </w:r>
                </w:p>
              </w:tc>
              <w:tc>
                <w:tcPr>
                  <w:tcW w:w="340"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pct"/>
                  <w:vMerge w:val="continue"/>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p>
              </w:tc>
              <w:tc>
                <w:tcPr>
                  <w:tcW w:w="1611"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在国家法律、法规、规章和规划确定或县级及以上人民政府规定自然保护区、风景名胜区、饮用水源保护区、基本农田保护区和其他需要特别保护的区域内，不得新建废塑料综合利用企业；已在上述区域投产运营的废</w:t>
                  </w:r>
                </w:p>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塑料综合利用企业，要根据该区域规划要求，依法通过搬迁、转产等方式逐步退出</w:t>
                  </w:r>
                </w:p>
              </w:tc>
              <w:tc>
                <w:tcPr>
                  <w:tcW w:w="1264"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项目附近无自然保护区、风景名胜区、饮用水源保护区、基本农田保护区和其他需要特殊保护的区域</w:t>
                  </w:r>
                </w:p>
              </w:tc>
              <w:tc>
                <w:tcPr>
                  <w:tcW w:w="340"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pct"/>
                  <w:vMerge w:val="continue"/>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p>
              </w:tc>
              <w:tc>
                <w:tcPr>
                  <w:tcW w:w="1611"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hint="eastAsia" w:ascii="Times New Roman" w:hAnsi="Times New Roman" w:eastAsia="宋体" w:cs="Times New Roman"/>
                      <w:kern w:val="0"/>
                      <w:szCs w:val="21"/>
                    </w:rPr>
                    <w:t>PET再生瓶片类企业：新建企业年废塑料处理能力不低于30000吨</w:t>
                  </w:r>
                </w:p>
              </w:tc>
              <w:tc>
                <w:tcPr>
                  <w:tcW w:w="1264"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本项目废塑料年加工量为</w:t>
                  </w:r>
                  <w:r>
                    <w:rPr>
                      <w:rFonts w:hint="eastAsia" w:ascii="Times New Roman" w:hAnsi="Times New Roman" w:eastAsia="宋体" w:cs="Times New Roman"/>
                      <w:kern w:val="0"/>
                      <w:szCs w:val="21"/>
                    </w:rPr>
                    <w:t>30000吨</w:t>
                  </w:r>
                </w:p>
              </w:tc>
              <w:tc>
                <w:tcPr>
                  <w:tcW w:w="340"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pct"/>
                  <w:vMerge w:val="continue"/>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p>
              </w:tc>
              <w:tc>
                <w:tcPr>
                  <w:tcW w:w="1611"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企业应具有与生产能力相匹配的厂</w:t>
                  </w:r>
                  <w:r>
                    <w:rPr>
                      <w:rFonts w:hint="eastAsia" w:ascii="Times New Roman" w:hAnsi="Times New Roman" w:eastAsia="宋体" w:cs="Times New Roman"/>
                      <w:kern w:val="0"/>
                      <w:szCs w:val="21"/>
                    </w:rPr>
                    <w:t>区</w:t>
                  </w:r>
                  <w:r>
                    <w:rPr>
                      <w:rFonts w:ascii="Times New Roman" w:hAnsi="Times New Roman" w:eastAsia="宋体" w:cs="Times New Roman"/>
                      <w:kern w:val="0"/>
                      <w:szCs w:val="21"/>
                    </w:rPr>
                    <w:t>作业场地面积</w:t>
                  </w:r>
                </w:p>
              </w:tc>
              <w:tc>
                <w:tcPr>
                  <w:tcW w:w="1264"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本项目总建筑面积</w:t>
                  </w:r>
                  <w:r>
                    <w:rPr>
                      <w:rFonts w:hint="eastAsia" w:ascii="Times New Roman" w:hAnsi="Times New Roman" w:eastAsia="宋体" w:cs="Times New Roman"/>
                      <w:kern w:val="0"/>
                      <w:szCs w:val="21"/>
                    </w:rPr>
                    <w:t>490</w:t>
                  </w:r>
                  <w:r>
                    <w:rPr>
                      <w:rFonts w:ascii="Times New Roman" w:hAnsi="Times New Roman" w:eastAsia="宋体" w:cs="Times New Roman"/>
                      <w:kern w:val="0"/>
                      <w:szCs w:val="21"/>
                    </w:rPr>
                    <w:t>m</w:t>
                  </w:r>
                  <w:r>
                    <w:rPr>
                      <w:rFonts w:ascii="Times New Roman" w:hAnsi="Times New Roman" w:eastAsia="宋体" w:cs="Times New Roman"/>
                      <w:kern w:val="0"/>
                      <w:szCs w:val="21"/>
                      <w:vertAlign w:val="superscript"/>
                    </w:rPr>
                    <w:t>2</w:t>
                  </w:r>
                  <w:r>
                    <w:rPr>
                      <w:rFonts w:ascii="Times New Roman" w:hAnsi="Times New Roman" w:eastAsia="宋体" w:cs="Times New Roman"/>
                      <w:kern w:val="0"/>
                      <w:szCs w:val="21"/>
                    </w:rPr>
                    <w:t>，占地面积为</w:t>
                  </w:r>
                  <w:r>
                    <w:rPr>
                      <w:rFonts w:hint="eastAsia" w:ascii="Times New Roman" w:hAnsi="Times New Roman" w:eastAsia="宋体" w:cs="Times New Roman"/>
                      <w:szCs w:val="21"/>
                    </w:rPr>
                    <w:t>7150.74</w:t>
                  </w:r>
                  <w:r>
                    <w:rPr>
                      <w:rFonts w:ascii="Times New Roman" w:hAnsi="Times New Roman" w:eastAsia="宋体" w:cs="Times New Roman"/>
                      <w:kern w:val="0"/>
                      <w:szCs w:val="21"/>
                    </w:rPr>
                    <w:t>m</w:t>
                  </w:r>
                  <w:r>
                    <w:rPr>
                      <w:rFonts w:ascii="Times New Roman" w:hAnsi="Times New Roman" w:eastAsia="宋体" w:cs="Times New Roman"/>
                      <w:kern w:val="0"/>
                      <w:szCs w:val="21"/>
                      <w:vertAlign w:val="superscript"/>
                    </w:rPr>
                    <w:t>2</w:t>
                  </w:r>
                  <w:r>
                    <w:rPr>
                      <w:rFonts w:ascii="Times New Roman" w:hAnsi="Times New Roman" w:eastAsia="宋体" w:cs="Times New Roman"/>
                      <w:kern w:val="0"/>
                      <w:szCs w:val="21"/>
                    </w:rPr>
                    <w:t>，各功能区分开布置，能够满足企业生产活动需求</w:t>
                  </w:r>
                </w:p>
              </w:tc>
              <w:tc>
                <w:tcPr>
                  <w:tcW w:w="340"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pct"/>
                  <w:vMerge w:val="continue"/>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p>
              </w:tc>
              <w:tc>
                <w:tcPr>
                  <w:tcW w:w="1611"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企业应对收集的废塑料进行充分利用，提高资源回收利用效率，不得倾倒、焚烧与</w:t>
                  </w:r>
                </w:p>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填埋</w:t>
                  </w:r>
                </w:p>
              </w:tc>
              <w:tc>
                <w:tcPr>
                  <w:tcW w:w="1264"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本项目购进废塑料瓶，不会有倾倒、焚烧、填埋等情况发生</w:t>
                  </w:r>
                </w:p>
              </w:tc>
              <w:tc>
                <w:tcPr>
                  <w:tcW w:w="340"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pct"/>
                  <w:vMerge w:val="continue"/>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p>
              </w:tc>
              <w:tc>
                <w:tcPr>
                  <w:tcW w:w="1611"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PET 再生瓶片类企业与废塑料破碎、</w:t>
                  </w:r>
                  <w:r>
                    <w:rPr>
                      <w:rFonts w:hint="eastAsia" w:ascii="Times New Roman" w:hAnsi="Times New Roman" w:eastAsia="宋体" w:cs="Times New Roman"/>
                      <w:kern w:val="0"/>
                      <w:szCs w:val="21"/>
                    </w:rPr>
                    <w:t>清洗</w:t>
                  </w:r>
                  <w:r>
                    <w:rPr>
                      <w:rFonts w:ascii="Times New Roman" w:hAnsi="Times New Roman" w:eastAsia="宋体" w:cs="Times New Roman"/>
                      <w:kern w:val="0"/>
                      <w:szCs w:val="21"/>
                    </w:rPr>
                    <w:t>、分选类企业的</w:t>
                  </w:r>
                  <w:r>
                    <w:rPr>
                      <w:rFonts w:hint="eastAsia" w:ascii="Times New Roman" w:hAnsi="Times New Roman" w:eastAsia="宋体" w:cs="Times New Roman"/>
                      <w:kern w:val="0"/>
                      <w:szCs w:val="21"/>
                    </w:rPr>
                    <w:t>综合</w:t>
                  </w:r>
                  <w:r>
                    <w:rPr>
                      <w:rFonts w:ascii="Times New Roman" w:hAnsi="Times New Roman" w:eastAsia="宋体" w:cs="Times New Roman"/>
                      <w:kern w:val="0"/>
                      <w:szCs w:val="21"/>
                    </w:rPr>
                    <w:t>新水消耗低于1.5 吨/吨废塑料。</w:t>
                  </w:r>
                </w:p>
              </w:tc>
              <w:tc>
                <w:tcPr>
                  <w:tcW w:w="1264"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项目生产用新鲜水量为</w:t>
                  </w:r>
                  <w:r>
                    <w:rPr>
                      <w:rFonts w:hint="eastAsia" w:ascii="Times New Roman" w:hAnsi="Times New Roman" w:eastAsia="宋体" w:cs="Times New Roman"/>
                      <w:kern w:val="0"/>
                      <w:szCs w:val="21"/>
                    </w:rPr>
                    <w:t>165</w:t>
                  </w:r>
                  <w:r>
                    <w:rPr>
                      <w:rFonts w:ascii="Times New Roman" w:hAnsi="Times New Roman" w:eastAsia="宋体" w:cs="Times New Roman"/>
                      <w:kern w:val="0"/>
                      <w:szCs w:val="21"/>
                    </w:rPr>
                    <w:t>m</w:t>
                  </w:r>
                  <w:r>
                    <w:rPr>
                      <w:rFonts w:ascii="Times New Roman" w:hAnsi="Times New Roman" w:eastAsia="宋体" w:cs="Times New Roman"/>
                      <w:kern w:val="0"/>
                      <w:szCs w:val="21"/>
                      <w:vertAlign w:val="superscript"/>
                    </w:rPr>
                    <w:t>3</w:t>
                  </w:r>
                  <w:r>
                    <w:rPr>
                      <w:rFonts w:ascii="Times New Roman" w:hAnsi="Times New Roman" w:eastAsia="宋体" w:cs="Times New Roman"/>
                      <w:kern w:val="0"/>
                      <w:szCs w:val="21"/>
                    </w:rPr>
                    <w:t>/a，塑料破碎综合新水消耗为0.</w:t>
                  </w:r>
                  <w:r>
                    <w:rPr>
                      <w:rFonts w:hint="eastAsia" w:ascii="Times New Roman" w:hAnsi="Times New Roman" w:eastAsia="宋体" w:cs="Times New Roman"/>
                      <w:kern w:val="0"/>
                      <w:szCs w:val="21"/>
                    </w:rPr>
                    <w:t>0055</w:t>
                  </w:r>
                  <w:r>
                    <w:rPr>
                      <w:rFonts w:ascii="Times New Roman" w:hAnsi="Times New Roman" w:eastAsia="宋体" w:cs="Times New Roman"/>
                      <w:kern w:val="0"/>
                      <w:szCs w:val="21"/>
                    </w:rPr>
                    <w:t xml:space="preserve"> 吨/吨废塑料，低于</w:t>
                  </w:r>
                  <w:r>
                    <w:rPr>
                      <w:rFonts w:hint="eastAsia" w:ascii="Times New Roman" w:hAnsi="Times New Roman" w:eastAsia="宋体" w:cs="Times New Roman"/>
                      <w:kern w:val="0"/>
                      <w:szCs w:val="21"/>
                    </w:rPr>
                    <w:t>1.5</w:t>
                  </w:r>
                  <w:r>
                    <w:rPr>
                      <w:rFonts w:ascii="Times New Roman" w:hAnsi="Times New Roman" w:eastAsia="宋体" w:cs="Times New Roman"/>
                      <w:kern w:val="0"/>
                      <w:szCs w:val="21"/>
                    </w:rPr>
                    <w:t>吨/吨废塑料</w:t>
                  </w:r>
                </w:p>
              </w:tc>
              <w:tc>
                <w:tcPr>
                  <w:tcW w:w="340"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pct"/>
                  <w:vMerge w:val="continue"/>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p>
              </w:tc>
              <w:tc>
                <w:tcPr>
                  <w:tcW w:w="1611"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hint="eastAsia" w:ascii="Times New Roman" w:hAnsi="Times New Roman" w:eastAsia="宋体" w:cs="Times New Roman"/>
                      <w:kern w:val="0"/>
                      <w:szCs w:val="21"/>
                    </w:rPr>
                    <w:t>PET 再生瓶片类企业。应实现自动进料、自动包装与加工过程的自动控制。其中，破碎工序应采用具有减振与降噪功能的密闭破碎设备；湿法破碎、脱标、清洗等工序应实现洗涤流程自动控制和清洗液循环利用，降低耗水量与耗药量；应使用低发泡、低残留、易处理的清洗药剂。</w:t>
                  </w:r>
                </w:p>
              </w:tc>
              <w:tc>
                <w:tcPr>
                  <w:tcW w:w="1264"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本项目</w:t>
                  </w:r>
                  <w:r>
                    <w:rPr>
                      <w:rFonts w:hint="eastAsia" w:ascii="Times New Roman" w:hAnsi="Times New Roman" w:eastAsia="宋体" w:cs="Times New Roman"/>
                      <w:kern w:val="0"/>
                      <w:szCs w:val="21"/>
                    </w:rPr>
                    <w:t>进料、加工、包装等过程采用自动控制</w:t>
                  </w:r>
                  <w:r>
                    <w:rPr>
                      <w:rFonts w:ascii="Times New Roman" w:hAnsi="Times New Roman" w:eastAsia="宋体" w:cs="Times New Roman"/>
                      <w:kern w:val="0"/>
                      <w:szCs w:val="21"/>
                    </w:rPr>
                    <w:t>，破碎采用的是湿式破碎，破碎等工序实现了自动控制，</w:t>
                  </w:r>
                  <w:r>
                    <w:rPr>
                      <w:rFonts w:hint="eastAsia" w:ascii="Times New Roman" w:hAnsi="Times New Roman" w:eastAsia="宋体" w:cs="Times New Roman"/>
                      <w:kern w:val="0"/>
                      <w:szCs w:val="21"/>
                    </w:rPr>
                    <w:t>湿法破碎、脱标、筛选等工序自动控制，产生的废水经处理后循环利用</w:t>
                  </w:r>
                </w:p>
              </w:tc>
              <w:tc>
                <w:tcPr>
                  <w:tcW w:w="340"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pct"/>
                  <w:vMerge w:val="continue"/>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p>
              </w:tc>
              <w:tc>
                <w:tcPr>
                  <w:tcW w:w="1611"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企业加工存储场地应建有围墙，在园区内的企业可为单</w:t>
                  </w:r>
                  <w:r>
                    <w:rPr>
                      <w:rFonts w:hint="eastAsia" w:ascii="Times New Roman" w:hAnsi="Times New Roman" w:eastAsia="宋体" w:cs="Times New Roman"/>
                      <w:kern w:val="0"/>
                      <w:szCs w:val="21"/>
                    </w:rPr>
                    <w:t>独</w:t>
                  </w:r>
                  <w:r>
                    <w:rPr>
                      <w:rFonts w:ascii="Times New Roman" w:hAnsi="Times New Roman" w:eastAsia="宋体" w:cs="Times New Roman"/>
                      <w:kern w:val="0"/>
                      <w:szCs w:val="21"/>
                    </w:rPr>
                    <w:t>厂房，地</w:t>
                  </w:r>
                  <w:r>
                    <w:rPr>
                      <w:rFonts w:hint="eastAsia" w:ascii="Times New Roman" w:hAnsi="Times New Roman" w:eastAsia="宋体" w:cs="Times New Roman"/>
                      <w:kern w:val="0"/>
                      <w:szCs w:val="21"/>
                    </w:rPr>
                    <w:t>面</w:t>
                  </w:r>
                  <w:r>
                    <w:rPr>
                      <w:rFonts w:ascii="Times New Roman" w:hAnsi="Times New Roman" w:eastAsia="宋体" w:cs="Times New Roman"/>
                      <w:kern w:val="0"/>
                      <w:szCs w:val="21"/>
                    </w:rPr>
                    <w:t>全部硬化且无明显破损现象</w:t>
                  </w:r>
                </w:p>
              </w:tc>
              <w:tc>
                <w:tcPr>
                  <w:tcW w:w="1264" w:type="pct"/>
                  <w:shd w:val="clear" w:color="auto" w:fill="auto"/>
                  <w:vAlign w:val="center"/>
                </w:tcPr>
                <w:p>
                  <w:pPr>
                    <w:autoSpaceDE w:val="0"/>
                    <w:autoSpaceDN w:val="0"/>
                    <w:adjustRightInd w:val="0"/>
                    <w:jc w:val="left"/>
                    <w:rPr>
                      <w:rFonts w:ascii="Times New Roman" w:hAnsi="Times New Roman" w:eastAsia="宋体" w:cs="Times New Roman"/>
                      <w:kern w:val="0"/>
                      <w:szCs w:val="21"/>
                    </w:rPr>
                  </w:pPr>
                  <w:r>
                    <w:rPr>
                      <w:rFonts w:ascii="Times New Roman" w:hAnsi="Times New Roman" w:eastAsia="宋体" w:cs="Times New Roman"/>
                      <w:kern w:val="0"/>
                      <w:szCs w:val="21"/>
                    </w:rPr>
                    <w:t>本项目的存储以及生产工序均在车间内，地面全部硬化</w:t>
                  </w:r>
                </w:p>
              </w:tc>
              <w:tc>
                <w:tcPr>
                  <w:tcW w:w="340"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pct"/>
                  <w:vMerge w:val="continue"/>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p>
              </w:tc>
              <w:tc>
                <w:tcPr>
                  <w:tcW w:w="1611" w:type="pct"/>
                  <w:shd w:val="clear" w:color="auto" w:fill="auto"/>
                  <w:vAlign w:val="center"/>
                </w:tcPr>
                <w:p>
                  <w:pPr>
                    <w:autoSpaceDE w:val="0"/>
                    <w:autoSpaceDN w:val="0"/>
                    <w:adjustRightInd w:val="0"/>
                    <w:jc w:val="left"/>
                    <w:rPr>
                      <w:rFonts w:ascii="Times New Roman" w:hAnsi="Times New Roman" w:eastAsia="宋体" w:cs="Times New Roman"/>
                      <w:kern w:val="0"/>
                      <w:szCs w:val="21"/>
                    </w:rPr>
                  </w:pPr>
                  <w:r>
                    <w:rPr>
                      <w:rFonts w:ascii="Times New Roman" w:hAnsi="Times New Roman" w:eastAsia="宋体" w:cs="Times New Roman"/>
                      <w:kern w:val="0"/>
                      <w:szCs w:val="21"/>
                    </w:rPr>
                    <w:t>必须配备废塑料分类存放场所。原料、产品、本企业不能利用废塑料及不可利用废物贮存在具有防雨、防风、防渗等功能的厂房或加盖雨棚的专门贮存场地内，无露天堆放现象。企业厂区管网建设应达到“雨污分流”要求。</w:t>
                  </w:r>
                </w:p>
              </w:tc>
              <w:tc>
                <w:tcPr>
                  <w:tcW w:w="1264" w:type="pct"/>
                  <w:shd w:val="clear" w:color="auto" w:fill="auto"/>
                  <w:vAlign w:val="center"/>
                </w:tcPr>
                <w:p>
                  <w:pPr>
                    <w:autoSpaceDE w:val="0"/>
                    <w:autoSpaceDN w:val="0"/>
                    <w:adjustRightInd w:val="0"/>
                    <w:jc w:val="left"/>
                    <w:rPr>
                      <w:rFonts w:ascii="Times New Roman" w:hAnsi="Times New Roman" w:eastAsia="宋体" w:cs="Times New Roman"/>
                      <w:kern w:val="0"/>
                      <w:szCs w:val="21"/>
                    </w:rPr>
                  </w:pPr>
                  <w:r>
                    <w:t>项目设封闭的生产车间，</w:t>
                  </w:r>
                  <w:r>
                    <w:rPr>
                      <w:rFonts w:ascii="Times New Roman" w:hAnsi="Times New Roman" w:eastAsia="宋体" w:cs="Times New Roman"/>
                      <w:kern w:val="0"/>
                      <w:szCs w:val="21"/>
                    </w:rPr>
                    <w:t>原料、成品均储存在生产车间内，项目一般固体废物分类暂存在一般固体废物暂存处，危险废暂存在危废暂存间，并做到防风、防雨、防渗，防</w:t>
                  </w:r>
                  <w:r>
                    <w:rPr>
                      <w:rFonts w:hint="eastAsia" w:ascii="Times New Roman" w:hAnsi="Times New Roman" w:eastAsia="宋体" w:cs="Times New Roman"/>
                      <w:kern w:val="0"/>
                      <w:szCs w:val="21"/>
                    </w:rPr>
                    <w:t>止</w:t>
                  </w:r>
                  <w:r>
                    <w:rPr>
                      <w:rFonts w:ascii="Times New Roman" w:hAnsi="Times New Roman" w:eastAsia="宋体" w:cs="Times New Roman"/>
                      <w:kern w:val="0"/>
                      <w:szCs w:val="21"/>
                    </w:rPr>
                    <w:t>污染地下水。</w:t>
                  </w:r>
                </w:p>
              </w:tc>
              <w:tc>
                <w:tcPr>
                  <w:tcW w:w="340"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pct"/>
                  <w:vMerge w:val="continue"/>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p>
              </w:tc>
              <w:tc>
                <w:tcPr>
                  <w:tcW w:w="1611" w:type="pct"/>
                  <w:shd w:val="clear" w:color="auto" w:fill="auto"/>
                  <w:vAlign w:val="center"/>
                </w:tcPr>
                <w:p>
                  <w:pPr>
                    <w:autoSpaceDE w:val="0"/>
                    <w:autoSpaceDN w:val="0"/>
                    <w:adjustRightInd w:val="0"/>
                    <w:jc w:val="left"/>
                    <w:rPr>
                      <w:rFonts w:ascii="Times New Roman" w:hAnsi="Times New Roman" w:eastAsia="宋体" w:cs="Times New Roman"/>
                      <w:kern w:val="0"/>
                      <w:szCs w:val="21"/>
                    </w:rPr>
                  </w:pPr>
                  <w:r>
                    <w:rPr>
                      <w:rFonts w:ascii="Times New Roman" w:hAnsi="Times New Roman" w:eastAsia="宋体" w:cs="Times New Roman"/>
                      <w:kern w:val="0"/>
                      <w:szCs w:val="21"/>
                    </w:rPr>
                    <w:t>企业应具有与加工利用能力相适应的废水处理设施，中水回用率必须符合环评文件</w:t>
                  </w:r>
                </w:p>
                <w:p>
                  <w:pPr>
                    <w:autoSpaceDE w:val="0"/>
                    <w:autoSpaceDN w:val="0"/>
                    <w:adjustRightInd w:val="0"/>
                    <w:jc w:val="left"/>
                    <w:rPr>
                      <w:rFonts w:ascii="Times New Roman" w:hAnsi="Times New Roman" w:eastAsia="宋体" w:cs="Times New Roman"/>
                      <w:kern w:val="0"/>
                      <w:szCs w:val="21"/>
                    </w:rPr>
                  </w:pPr>
                  <w:r>
                    <w:rPr>
                      <w:rFonts w:ascii="Times New Roman" w:hAnsi="Times New Roman" w:eastAsia="宋体" w:cs="Times New Roman"/>
                      <w:kern w:val="0"/>
                      <w:szCs w:val="21"/>
                    </w:rPr>
                    <w:t>的有关要求。废水处理后需要外排的废水，必须经处理后达标排放。</w:t>
                  </w:r>
                </w:p>
              </w:tc>
              <w:tc>
                <w:tcPr>
                  <w:tcW w:w="1264"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生产废水经污水处理系统处理后，回用于生产。</w:t>
                  </w:r>
                </w:p>
              </w:tc>
              <w:tc>
                <w:tcPr>
                  <w:tcW w:w="340"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pct"/>
                  <w:vMerge w:val="continue"/>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p>
              </w:tc>
              <w:tc>
                <w:tcPr>
                  <w:tcW w:w="1611" w:type="pct"/>
                  <w:shd w:val="clear" w:color="auto" w:fill="auto"/>
                  <w:vAlign w:val="center"/>
                </w:tcPr>
                <w:p>
                  <w:pPr>
                    <w:autoSpaceDE w:val="0"/>
                    <w:autoSpaceDN w:val="0"/>
                    <w:adjustRightInd w:val="0"/>
                    <w:jc w:val="left"/>
                    <w:rPr>
                      <w:rFonts w:ascii="Times New Roman" w:hAnsi="Times New Roman" w:eastAsia="宋体" w:cs="Times New Roman"/>
                      <w:kern w:val="0"/>
                      <w:szCs w:val="21"/>
                    </w:rPr>
                  </w:pPr>
                  <w:r>
                    <w:rPr>
                      <w:rFonts w:ascii="Times New Roman" w:hAnsi="Times New Roman" w:eastAsia="宋体" w:cs="Times New Roman"/>
                      <w:kern w:val="0"/>
                      <w:szCs w:val="21"/>
                    </w:rPr>
                    <w:t>再</w:t>
                  </w:r>
                  <w:r>
                    <w:rPr>
                      <w:rFonts w:hint="eastAsia" w:ascii="Times New Roman" w:hAnsi="Times New Roman" w:eastAsia="宋体" w:cs="Times New Roman"/>
                      <w:kern w:val="0"/>
                      <w:szCs w:val="21"/>
                    </w:rPr>
                    <w:t>生</w:t>
                  </w:r>
                  <w:r>
                    <w:rPr>
                      <w:rFonts w:ascii="Times New Roman" w:hAnsi="Times New Roman" w:eastAsia="宋体" w:cs="Times New Roman"/>
                      <w:kern w:val="0"/>
                      <w:szCs w:val="21"/>
                    </w:rPr>
                    <w:t>加工过程中产生废气、粉尘的加工车间应设置废气、粉尘收集处理设施，通过净化处理，达标后排放。</w:t>
                  </w:r>
                </w:p>
              </w:tc>
              <w:tc>
                <w:tcPr>
                  <w:tcW w:w="1264" w:type="pct"/>
                  <w:shd w:val="clear" w:color="auto" w:fill="auto"/>
                  <w:vAlign w:val="center"/>
                </w:tcPr>
                <w:p>
                  <w:pPr>
                    <w:autoSpaceDE w:val="0"/>
                    <w:autoSpaceDN w:val="0"/>
                    <w:adjustRightInd w:val="0"/>
                    <w:jc w:val="left"/>
                    <w:rPr>
                      <w:rFonts w:ascii="Times New Roman" w:hAnsi="Times New Roman" w:eastAsia="宋体" w:cs="Times New Roman"/>
                      <w:kern w:val="0"/>
                      <w:szCs w:val="21"/>
                    </w:rPr>
                  </w:pPr>
                  <w:r>
                    <w:rPr>
                      <w:rFonts w:ascii="Times New Roman" w:hAnsi="Times New Roman" w:eastAsia="宋体" w:cs="Times New Roman"/>
                      <w:kern w:val="0"/>
                      <w:szCs w:val="21"/>
                    </w:rPr>
                    <w:t>本项目破碎过程为湿式破碎，无粉尘产生</w:t>
                  </w:r>
                </w:p>
              </w:tc>
              <w:tc>
                <w:tcPr>
                  <w:tcW w:w="340"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pct"/>
                  <w:vMerge w:val="continue"/>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p>
              </w:tc>
              <w:tc>
                <w:tcPr>
                  <w:tcW w:w="1611" w:type="pct"/>
                  <w:shd w:val="clear" w:color="auto" w:fill="auto"/>
                  <w:vAlign w:val="center"/>
                </w:tcPr>
                <w:p>
                  <w:pPr>
                    <w:autoSpaceDE w:val="0"/>
                    <w:autoSpaceDN w:val="0"/>
                    <w:adjustRightInd w:val="0"/>
                    <w:jc w:val="left"/>
                    <w:rPr>
                      <w:rFonts w:ascii="Times New Roman" w:hAnsi="Times New Roman" w:eastAsia="宋体" w:cs="Times New Roman"/>
                      <w:kern w:val="0"/>
                      <w:szCs w:val="21"/>
                    </w:rPr>
                  </w:pPr>
                  <w:r>
                    <w:rPr>
                      <w:rFonts w:ascii="Times New Roman" w:hAnsi="Times New Roman" w:eastAsia="宋体" w:cs="Times New Roman"/>
                      <w:kern w:val="0"/>
                      <w:szCs w:val="21"/>
                    </w:rPr>
                    <w:t>对于加</w:t>
                  </w:r>
                  <w:r>
                    <w:rPr>
                      <w:rFonts w:hint="eastAsia" w:ascii="Times New Roman" w:hAnsi="Times New Roman" w:eastAsia="宋体" w:cs="Times New Roman"/>
                      <w:kern w:val="0"/>
                      <w:szCs w:val="21"/>
                    </w:rPr>
                    <w:t>工</w:t>
                  </w:r>
                  <w:r>
                    <w:rPr>
                      <w:rFonts w:ascii="Times New Roman" w:hAnsi="Times New Roman" w:eastAsia="宋体" w:cs="Times New Roman"/>
                      <w:kern w:val="0"/>
                      <w:szCs w:val="21"/>
                    </w:rPr>
                    <w:t>过程中噪音污染大的设备，必须采取降噪和隔音措施，企业噪声应达到《工业企业厂界环境噪声排放标准》</w:t>
                  </w:r>
                </w:p>
              </w:tc>
              <w:tc>
                <w:tcPr>
                  <w:tcW w:w="1264"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项目生产设备采用基础减震+厂房隔声（厂房内设隔间）+距离衰减等措施治理，经预测厂界噪声可满足《工业企业厂界环境噪声排放标准》</w:t>
                  </w:r>
                  <w:r>
                    <w:rPr>
                      <w:rFonts w:hint="eastAsia" w:ascii="Times New Roman" w:hAnsi="Times New Roman" w:eastAsia="宋体" w:cs="Times New Roman"/>
                      <w:kern w:val="0"/>
                      <w:szCs w:val="21"/>
                    </w:rPr>
                    <w:t>2</w:t>
                  </w:r>
                  <w:r>
                    <w:rPr>
                      <w:rFonts w:ascii="Times New Roman" w:hAnsi="Times New Roman" w:eastAsia="宋体" w:cs="Times New Roman"/>
                      <w:kern w:val="0"/>
                      <w:szCs w:val="21"/>
                    </w:rPr>
                    <w:t xml:space="preserve"> 类、</w:t>
                  </w:r>
                  <w:r>
                    <w:rPr>
                      <w:rFonts w:hint="eastAsia" w:ascii="Times New Roman" w:hAnsi="Times New Roman" w:eastAsia="宋体" w:cs="Times New Roman"/>
                      <w:kern w:val="0"/>
                      <w:szCs w:val="21"/>
                    </w:rPr>
                    <w:t>4类</w:t>
                  </w:r>
                  <w:r>
                    <w:rPr>
                      <w:rFonts w:ascii="Times New Roman" w:hAnsi="Times New Roman" w:eastAsia="宋体" w:cs="Times New Roman"/>
                      <w:kern w:val="0"/>
                      <w:szCs w:val="21"/>
                    </w:rPr>
                    <w:t>标准</w:t>
                  </w:r>
                </w:p>
              </w:tc>
              <w:tc>
                <w:tcPr>
                  <w:tcW w:w="340"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pct"/>
                  <w:vMerge w:val="restar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《废塑料回收与再生利用污染源控制</w:t>
                  </w:r>
                  <w:r>
                    <w:rPr>
                      <w:rFonts w:hint="eastAsia" w:ascii="Times New Roman" w:hAnsi="Times New Roman" w:eastAsia="宋体" w:cs="Times New Roman"/>
                      <w:kern w:val="0"/>
                      <w:szCs w:val="21"/>
                    </w:rPr>
                    <w:t>技术</w:t>
                  </w:r>
                  <w:r>
                    <w:rPr>
                      <w:rFonts w:ascii="Times New Roman" w:hAnsi="Times New Roman" w:eastAsia="宋体" w:cs="Times New Roman"/>
                      <w:kern w:val="0"/>
                      <w:szCs w:val="21"/>
                    </w:rPr>
                    <w:t>规范》（</w:t>
                  </w:r>
                  <w:r>
                    <w:rPr>
                      <w:rFonts w:hint="eastAsia" w:ascii="Times New Roman" w:hAnsi="Times New Roman" w:eastAsia="宋体" w:cs="Times New Roman"/>
                      <w:kern w:val="0"/>
                      <w:szCs w:val="21"/>
                    </w:rPr>
                    <w:t>DB13/T5361-2021</w:t>
                  </w:r>
                  <w:r>
                    <w:rPr>
                      <w:rFonts w:ascii="Times New Roman" w:hAnsi="Times New Roman" w:eastAsia="宋体" w:cs="Times New Roman"/>
                      <w:kern w:val="0"/>
                      <w:szCs w:val="21"/>
                    </w:rPr>
                    <w:t>）</w:t>
                  </w:r>
                </w:p>
              </w:tc>
              <w:tc>
                <w:tcPr>
                  <w:tcW w:w="1611" w:type="pct"/>
                  <w:shd w:val="clear" w:color="auto" w:fill="auto"/>
                  <w:vAlign w:val="center"/>
                </w:tcPr>
                <w:p>
                  <w:pPr>
                    <w:autoSpaceDE w:val="0"/>
                    <w:autoSpaceDN w:val="0"/>
                    <w:adjustRightInd w:val="0"/>
                    <w:jc w:val="left"/>
                    <w:rPr>
                      <w:rFonts w:ascii="Times New Roman" w:hAnsi="Times New Roman" w:eastAsia="宋体" w:cs="Times New Roman"/>
                      <w:kern w:val="0"/>
                      <w:szCs w:val="21"/>
                    </w:rPr>
                  </w:pPr>
                  <w:r>
                    <w:rPr>
                      <w:rFonts w:ascii="Times New Roman" w:hAnsi="Times New Roman" w:eastAsia="TimesNewRomanPSMT" w:cs="Times New Roman"/>
                      <w:kern w:val="0"/>
                      <w:szCs w:val="21"/>
                    </w:rPr>
                    <w:t>1</w:t>
                  </w:r>
                  <w:r>
                    <w:rPr>
                      <w:rFonts w:ascii="Times New Roman" w:hAnsi="Times New Roman" w:eastAsia="宋体" w:cs="Times New Roman"/>
                      <w:kern w:val="0"/>
                      <w:szCs w:val="21"/>
                    </w:rPr>
                    <w:t>、废塑料贮存在通过环保审批的专门贮存场所内。</w:t>
                  </w:r>
                  <w:r>
                    <w:rPr>
                      <w:rFonts w:ascii="Times New Roman" w:hAnsi="Times New Roman" w:eastAsia="TimesNewRomanPSMT" w:cs="Times New Roman"/>
                      <w:kern w:val="0"/>
                      <w:szCs w:val="21"/>
                    </w:rPr>
                    <w:t>2</w:t>
                  </w:r>
                  <w:r>
                    <w:rPr>
                      <w:rFonts w:ascii="Times New Roman" w:hAnsi="Times New Roman" w:eastAsia="宋体" w:cs="Times New Roman"/>
                      <w:kern w:val="0"/>
                      <w:szCs w:val="21"/>
                    </w:rPr>
                    <w:t>、贮存场所封闭或半封闭，有防雨、防晒、尘、防扬散、防火措施。</w:t>
                  </w:r>
                  <w:r>
                    <w:rPr>
                      <w:rFonts w:ascii="Times New Roman" w:hAnsi="Times New Roman" w:eastAsia="TimesNewRomanPSMT" w:cs="Times New Roman"/>
                      <w:kern w:val="0"/>
                      <w:szCs w:val="21"/>
                    </w:rPr>
                    <w:t>3</w:t>
                  </w:r>
                  <w:r>
                    <w:rPr>
                      <w:rFonts w:ascii="Times New Roman" w:hAnsi="Times New Roman" w:eastAsia="宋体" w:cs="Times New Roman"/>
                      <w:kern w:val="0"/>
                      <w:szCs w:val="21"/>
                    </w:rPr>
                    <w:t>、废塑料按种类、来源分开存放。</w:t>
                  </w:r>
                </w:p>
              </w:tc>
              <w:tc>
                <w:tcPr>
                  <w:tcW w:w="1264" w:type="pct"/>
                  <w:shd w:val="clear" w:color="auto" w:fill="auto"/>
                  <w:vAlign w:val="center"/>
                </w:tcPr>
                <w:p>
                  <w:pPr>
                    <w:autoSpaceDE w:val="0"/>
                    <w:autoSpaceDN w:val="0"/>
                    <w:adjustRightInd w:val="0"/>
                    <w:jc w:val="left"/>
                    <w:rPr>
                      <w:rFonts w:ascii="Times New Roman" w:hAnsi="Times New Roman" w:eastAsia="宋体" w:cs="Times New Roman"/>
                      <w:kern w:val="0"/>
                      <w:szCs w:val="21"/>
                    </w:rPr>
                  </w:pPr>
                  <w:r>
                    <w:rPr>
                      <w:rFonts w:ascii="Times New Roman" w:hAnsi="Times New Roman" w:eastAsia="宋体" w:cs="Times New Roman"/>
                      <w:kern w:val="0"/>
                      <w:szCs w:val="21"/>
                    </w:rPr>
                    <w:t>本项目已建设专门的贮存场所，具备防雨、防晒、防尘、防扬散、防火等措施；原料进厂区后要求企业按种类、来源分开存放</w:t>
                  </w:r>
                </w:p>
              </w:tc>
              <w:tc>
                <w:tcPr>
                  <w:tcW w:w="340"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pct"/>
                  <w:vMerge w:val="continue"/>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p>
              </w:tc>
              <w:tc>
                <w:tcPr>
                  <w:tcW w:w="1611" w:type="pct"/>
                  <w:shd w:val="clear" w:color="auto" w:fill="auto"/>
                  <w:vAlign w:val="center"/>
                </w:tcPr>
                <w:p>
                  <w:pPr>
                    <w:autoSpaceDE w:val="0"/>
                    <w:autoSpaceDN w:val="0"/>
                    <w:adjustRightInd w:val="0"/>
                    <w:jc w:val="left"/>
                    <w:rPr>
                      <w:rFonts w:ascii="Times New Roman" w:hAnsi="Times New Roman" w:eastAsia="宋体" w:cs="Times New Roman"/>
                      <w:kern w:val="0"/>
                      <w:szCs w:val="21"/>
                    </w:rPr>
                  </w:pPr>
                  <w:r>
                    <w:rPr>
                      <w:rFonts w:ascii="Times New Roman" w:hAnsi="Times New Roman" w:eastAsia="TimesNewRomanPSMT" w:cs="Times New Roman"/>
                      <w:kern w:val="0"/>
                      <w:szCs w:val="21"/>
                    </w:rPr>
                    <w:t>1</w:t>
                  </w:r>
                  <w:r>
                    <w:rPr>
                      <w:rFonts w:ascii="Times New Roman" w:hAnsi="Times New Roman" w:eastAsia="宋体" w:cs="Times New Roman"/>
                      <w:kern w:val="0"/>
                      <w:szCs w:val="21"/>
                    </w:rPr>
                    <w:t>、预处理工艺遵循先进、稳定、无二次污染的原则，采用节能、高效、低污染的技术设备；机械化和自动化作业，减少手工操作；</w:t>
                  </w:r>
                  <w:r>
                    <w:rPr>
                      <w:rFonts w:ascii="Times New Roman" w:hAnsi="Times New Roman" w:eastAsia="TimesNewRomanPSMT" w:cs="Times New Roman"/>
                      <w:kern w:val="0"/>
                      <w:szCs w:val="21"/>
                    </w:rPr>
                    <w:t>2</w:t>
                  </w:r>
                  <w:r>
                    <w:rPr>
                      <w:rFonts w:ascii="Times New Roman" w:hAnsi="Times New Roman" w:eastAsia="宋体" w:cs="Times New Roman"/>
                      <w:kern w:val="0"/>
                      <w:szCs w:val="21"/>
                    </w:rPr>
                    <w:t>、废塑料人工分选确保操作人员的健康和安全。</w:t>
                  </w:r>
                  <w:r>
                    <w:rPr>
                      <w:rFonts w:ascii="Times New Roman" w:hAnsi="Times New Roman" w:eastAsia="TimesNewRomanPSMT" w:cs="Times New Roman"/>
                      <w:kern w:val="0"/>
                      <w:szCs w:val="21"/>
                    </w:rPr>
                    <w:t>3</w:t>
                  </w:r>
                  <w:r>
                    <w:rPr>
                      <w:rFonts w:ascii="Times New Roman" w:hAnsi="Times New Roman" w:eastAsia="宋体" w:cs="Times New Roman"/>
                      <w:kern w:val="0"/>
                      <w:szCs w:val="21"/>
                    </w:rPr>
                    <w:t>、根据塑料来源和污染情况选择清洗工艺，化学清洗不得使用有毒有害化学清洗剂；宜采用无磷清洗剂。</w:t>
                  </w:r>
                  <w:r>
                    <w:rPr>
                      <w:rFonts w:ascii="Times New Roman" w:hAnsi="Times New Roman" w:eastAsia="TimesNewRomanPSMT" w:cs="Times New Roman"/>
                      <w:kern w:val="0"/>
                      <w:szCs w:val="21"/>
                    </w:rPr>
                    <w:t>4</w:t>
                  </w:r>
                  <w:r>
                    <w:rPr>
                      <w:rFonts w:ascii="Times New Roman" w:hAnsi="Times New Roman" w:eastAsia="宋体" w:cs="Times New Roman"/>
                      <w:kern w:val="0"/>
                      <w:szCs w:val="21"/>
                    </w:rPr>
                    <w:t>、人工干燥宜采用节能高效技术，自然干燥应采取防风措施</w:t>
                  </w:r>
                </w:p>
              </w:tc>
              <w:tc>
                <w:tcPr>
                  <w:tcW w:w="1264" w:type="pct"/>
                  <w:shd w:val="clear" w:color="auto" w:fill="auto"/>
                  <w:vAlign w:val="center"/>
                </w:tcPr>
                <w:p>
                  <w:pPr>
                    <w:autoSpaceDE w:val="0"/>
                    <w:autoSpaceDN w:val="0"/>
                    <w:adjustRightInd w:val="0"/>
                    <w:jc w:val="left"/>
                    <w:rPr>
                      <w:rFonts w:ascii="Times New Roman" w:hAnsi="Times New Roman" w:eastAsia="宋体" w:cs="Times New Roman"/>
                      <w:kern w:val="0"/>
                      <w:szCs w:val="21"/>
                    </w:rPr>
                  </w:pPr>
                  <w:r>
                    <w:rPr>
                      <w:rFonts w:ascii="Times New Roman" w:hAnsi="Times New Roman" w:eastAsia="宋体" w:cs="Times New Roman"/>
                      <w:kern w:val="0"/>
                      <w:szCs w:val="21"/>
                    </w:rPr>
                    <w:t xml:space="preserve">本项目需要经过人工拣选出不同颜色的瓶子，可以确保操作人员的健康和安全，不涉及清洗工序。 </w:t>
                  </w:r>
                </w:p>
              </w:tc>
              <w:tc>
                <w:tcPr>
                  <w:tcW w:w="340"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pct"/>
                  <w:vMerge w:val="continue"/>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p>
              </w:tc>
              <w:tc>
                <w:tcPr>
                  <w:tcW w:w="1611" w:type="pct"/>
                  <w:shd w:val="clear" w:color="auto" w:fill="auto"/>
                  <w:vAlign w:val="center"/>
                </w:tcPr>
                <w:p>
                  <w:pPr>
                    <w:autoSpaceDE w:val="0"/>
                    <w:autoSpaceDN w:val="0"/>
                    <w:adjustRightInd w:val="0"/>
                    <w:jc w:val="left"/>
                    <w:rPr>
                      <w:rFonts w:ascii="Times New Roman" w:hAnsi="Times New Roman" w:eastAsia="宋体" w:cs="Times New Roman"/>
                      <w:kern w:val="0"/>
                      <w:szCs w:val="21"/>
                    </w:rPr>
                  </w:pPr>
                  <w:r>
                    <w:rPr>
                      <w:rFonts w:ascii="Times New Roman" w:hAnsi="Times New Roman" w:eastAsia="TimesNewRomanPSMT" w:cs="Times New Roman"/>
                      <w:kern w:val="0"/>
                      <w:szCs w:val="21"/>
                    </w:rPr>
                    <w:t>1</w:t>
                  </w:r>
                  <w:r>
                    <w:rPr>
                      <w:rFonts w:ascii="Times New Roman" w:hAnsi="Times New Roman" w:eastAsia="宋体" w:cs="Times New Roman"/>
                      <w:kern w:val="0"/>
                      <w:szCs w:val="21"/>
                    </w:rPr>
                    <w:t>、废塑料再生利用项目必须经过县级以上地方人民政府环境保护行政主管部门的审批，严格执行环境影响评价和“三同时”制度；</w:t>
                  </w:r>
                  <w:r>
                    <w:rPr>
                      <w:rFonts w:ascii="Times New Roman" w:hAnsi="Times New Roman" w:eastAsia="TimesNewRomanPSMT" w:cs="Times New Roman"/>
                      <w:kern w:val="0"/>
                      <w:szCs w:val="21"/>
                    </w:rPr>
                    <w:t>2</w:t>
                  </w:r>
                  <w:r>
                    <w:rPr>
                      <w:rFonts w:ascii="Times New Roman" w:hAnsi="Times New Roman" w:eastAsia="宋体" w:cs="Times New Roman"/>
                      <w:kern w:val="0"/>
                      <w:szCs w:val="21"/>
                    </w:rPr>
                    <w:t>、进口塑料作为生产原料的企业应具有固体废物进口许可证；</w:t>
                  </w:r>
                  <w:r>
                    <w:rPr>
                      <w:rFonts w:ascii="Times New Roman" w:hAnsi="Times New Roman" w:eastAsia="TimesNewRomanPSMT" w:cs="Times New Roman"/>
                      <w:kern w:val="0"/>
                      <w:szCs w:val="21"/>
                    </w:rPr>
                    <w:t>3</w:t>
                  </w:r>
                  <w:r>
                    <w:rPr>
                      <w:rFonts w:ascii="Times New Roman" w:hAnsi="Times New Roman" w:eastAsia="宋体" w:cs="Times New Roman"/>
                      <w:kern w:val="0"/>
                      <w:szCs w:val="21"/>
                    </w:rPr>
                    <w:t>、新建项目选址应符合环境保护要求，不得建在城市居民区、商业区及其他环境敏感区内，若在，需限期迁址；</w:t>
                  </w:r>
                  <w:r>
                    <w:rPr>
                      <w:rFonts w:ascii="Times New Roman" w:hAnsi="Times New Roman" w:eastAsia="TimesNewRomanPSMT" w:cs="Times New Roman"/>
                      <w:kern w:val="0"/>
                      <w:szCs w:val="21"/>
                    </w:rPr>
                    <w:t>4</w:t>
                  </w:r>
                  <w:r>
                    <w:rPr>
                      <w:rFonts w:ascii="Times New Roman" w:hAnsi="Times New Roman" w:eastAsia="宋体" w:cs="Times New Roman"/>
                      <w:kern w:val="0"/>
                      <w:szCs w:val="21"/>
                    </w:rPr>
                    <w:t>、再生利用项目必须建有围墙并按功能划分厂区，各功能区应有明显的界线和标志；</w:t>
                  </w:r>
                  <w:r>
                    <w:rPr>
                      <w:rFonts w:ascii="Times New Roman" w:hAnsi="Times New Roman" w:eastAsia="TimesNewRomanPSMT" w:cs="Times New Roman"/>
                      <w:kern w:val="0"/>
                      <w:szCs w:val="21"/>
                    </w:rPr>
                    <w:t>5</w:t>
                  </w:r>
                  <w:r>
                    <w:rPr>
                      <w:rFonts w:ascii="Times New Roman" w:hAnsi="Times New Roman" w:eastAsia="宋体" w:cs="Times New Roman"/>
                      <w:kern w:val="0"/>
                      <w:szCs w:val="21"/>
                    </w:rPr>
                    <w:t>、功能区设施封闭或半封闭，采取防风、防雨、防渗、防火等措施，有足够的疏散通道。</w:t>
                  </w:r>
                </w:p>
              </w:tc>
              <w:tc>
                <w:tcPr>
                  <w:tcW w:w="1264" w:type="pct"/>
                  <w:shd w:val="clear" w:color="auto" w:fill="auto"/>
                  <w:vAlign w:val="center"/>
                </w:tcPr>
                <w:p>
                  <w:pPr>
                    <w:autoSpaceDE w:val="0"/>
                    <w:autoSpaceDN w:val="0"/>
                    <w:adjustRightInd w:val="0"/>
                    <w:jc w:val="left"/>
                    <w:rPr>
                      <w:rFonts w:ascii="Times New Roman" w:hAnsi="Times New Roman" w:eastAsia="宋体" w:cs="Times New Roman"/>
                      <w:kern w:val="0"/>
                      <w:szCs w:val="21"/>
                    </w:rPr>
                  </w:pPr>
                  <w:r>
                    <w:rPr>
                      <w:rFonts w:ascii="Times New Roman" w:hAnsi="Times New Roman" w:eastAsia="宋体" w:cs="Times New Roman"/>
                      <w:kern w:val="0"/>
                      <w:szCs w:val="21"/>
                    </w:rPr>
                    <w:t>本次环评要求企业严格执行环境影响评价和“三同时”制度；项目所购原材料均为当地购买，无进口塑料；本项目</w:t>
                  </w:r>
                  <w:r>
                    <w:rPr>
                      <w:rFonts w:hint="eastAsia" w:ascii="Times New Roman" w:hAnsi="Times New Roman" w:eastAsia="宋体" w:cs="Times New Roman"/>
                      <w:kern w:val="0"/>
                      <w:szCs w:val="21"/>
                    </w:rPr>
                    <w:t>用地</w:t>
                  </w:r>
                  <w:r>
                    <w:rPr>
                      <w:rFonts w:ascii="Times New Roman" w:hAnsi="Times New Roman" w:eastAsia="宋体" w:cs="Times New Roman"/>
                      <w:kern w:val="0"/>
                      <w:szCs w:val="21"/>
                    </w:rPr>
                    <w:t>属于工业用地，未建在城市居民区、商业区及其他环境敏感区内；本项目建立单独的围墙，并将生产车间按功能划分区域，并配有明显的界线和标志；本项目划分后的</w:t>
                  </w:r>
                  <w:r>
                    <w:rPr>
                      <w:rFonts w:hint="eastAsia" w:ascii="Times New Roman" w:hAnsi="Times New Roman" w:eastAsia="宋体" w:cs="Times New Roman"/>
                      <w:kern w:val="0"/>
                      <w:szCs w:val="21"/>
                    </w:rPr>
                    <w:t>功能</w:t>
                  </w:r>
                  <w:r>
                    <w:rPr>
                      <w:rFonts w:ascii="Times New Roman" w:hAnsi="Times New Roman" w:eastAsia="宋体" w:cs="Times New Roman"/>
                      <w:kern w:val="0"/>
                      <w:szCs w:val="21"/>
                    </w:rPr>
                    <w:t>区均处于封闭的厂房内，防风、防雨、防渗、防火等措施齐全，有足够的疏散通道</w:t>
                  </w:r>
                </w:p>
              </w:tc>
              <w:tc>
                <w:tcPr>
                  <w:tcW w:w="340"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pct"/>
                  <w:vMerge w:val="continue"/>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p>
              </w:tc>
              <w:tc>
                <w:tcPr>
                  <w:tcW w:w="1611" w:type="pct"/>
                  <w:shd w:val="clear" w:color="auto" w:fill="auto"/>
                  <w:vAlign w:val="center"/>
                </w:tcPr>
                <w:p>
                  <w:pPr>
                    <w:autoSpaceDE w:val="0"/>
                    <w:autoSpaceDN w:val="0"/>
                    <w:adjustRightInd w:val="0"/>
                    <w:jc w:val="left"/>
                    <w:rPr>
                      <w:rFonts w:ascii="Times New Roman" w:hAnsi="Times New Roman" w:eastAsia="宋体" w:cs="Times New Roman"/>
                      <w:kern w:val="0"/>
                      <w:szCs w:val="21"/>
                    </w:rPr>
                  </w:pPr>
                  <w:r>
                    <w:rPr>
                      <w:rFonts w:ascii="Times New Roman" w:hAnsi="Times New Roman" w:eastAsia="TimesNewRomanPSMT" w:cs="Times New Roman"/>
                      <w:kern w:val="0"/>
                      <w:szCs w:val="21"/>
                    </w:rPr>
                    <w:t>1</w:t>
                  </w:r>
                  <w:r>
                    <w:rPr>
                      <w:rFonts w:ascii="Times New Roman" w:hAnsi="Times New Roman" w:eastAsia="宋体" w:cs="Times New Roman"/>
                      <w:kern w:val="0"/>
                      <w:szCs w:val="21"/>
                    </w:rPr>
                    <w:t>、企业应有废水收集设施，宜在厂区内处理并循环利用；</w:t>
                  </w:r>
                  <w:r>
                    <w:rPr>
                      <w:rFonts w:ascii="Times New Roman" w:hAnsi="Times New Roman" w:eastAsia="TimesNewRomanPSMT" w:cs="Times New Roman"/>
                      <w:kern w:val="0"/>
                      <w:szCs w:val="21"/>
                    </w:rPr>
                    <w:t>2</w:t>
                  </w:r>
                  <w:r>
                    <w:rPr>
                      <w:rFonts w:ascii="Times New Roman" w:hAnsi="Times New Roman" w:eastAsia="宋体" w:cs="Times New Roman"/>
                      <w:kern w:val="0"/>
                      <w:szCs w:val="21"/>
                    </w:rPr>
                    <w:t>、预处理、再生利用过程中产生的废气，企业应有集气装置收集；</w:t>
                  </w:r>
                  <w:r>
                    <w:rPr>
                      <w:rFonts w:ascii="Times New Roman" w:hAnsi="Times New Roman" w:eastAsia="TimesNewRomanPSMT" w:cs="Times New Roman"/>
                      <w:kern w:val="0"/>
                      <w:szCs w:val="21"/>
                    </w:rPr>
                    <w:t>3</w:t>
                  </w:r>
                  <w:r>
                    <w:rPr>
                      <w:rFonts w:ascii="Times New Roman" w:hAnsi="Times New Roman" w:eastAsia="宋体" w:cs="Times New Roman"/>
                      <w:kern w:val="0"/>
                      <w:szCs w:val="21"/>
                    </w:rPr>
                    <w:t>、预处理和再生利用过程应控制噪声污染；</w:t>
                  </w:r>
                  <w:r>
                    <w:rPr>
                      <w:rFonts w:ascii="Times New Roman" w:hAnsi="Times New Roman" w:eastAsia="TimesNewRomanPSMT" w:cs="Times New Roman"/>
                      <w:kern w:val="0"/>
                      <w:szCs w:val="21"/>
                    </w:rPr>
                    <w:t>4</w:t>
                  </w:r>
                  <w:r>
                    <w:rPr>
                      <w:rFonts w:ascii="Times New Roman" w:hAnsi="Times New Roman" w:eastAsia="宋体" w:cs="Times New Roman"/>
                      <w:kern w:val="0"/>
                      <w:szCs w:val="21"/>
                    </w:rPr>
                    <w:t>、废塑料预处理、再生过程产生的固废，应按工业固废处理，并执行相关环保标准。</w:t>
                  </w:r>
                </w:p>
              </w:tc>
              <w:tc>
                <w:tcPr>
                  <w:tcW w:w="1264"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本项目生产废水经污水处理站处理后全部回用。生产过程中无废气外排，仅污水处理系统有臭气浓度，项目生产设备均选用低噪声设备，并置于车间内。</w:t>
                  </w:r>
                </w:p>
              </w:tc>
              <w:tc>
                <w:tcPr>
                  <w:tcW w:w="340"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pct"/>
                  <w:vMerge w:val="restar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《废塑料污染控制技术规范》（</w:t>
                  </w:r>
                  <w:r>
                    <w:rPr>
                      <w:rFonts w:hint="eastAsia" w:ascii="Times New Roman" w:hAnsi="Times New Roman" w:eastAsia="宋体" w:cs="Times New Roman"/>
                      <w:kern w:val="0"/>
                      <w:szCs w:val="21"/>
                    </w:rPr>
                    <w:t>HJ364-2022</w:t>
                  </w:r>
                  <w:r>
                    <w:rPr>
                      <w:rFonts w:ascii="Times New Roman" w:hAnsi="Times New Roman" w:eastAsia="宋体" w:cs="Times New Roman"/>
                      <w:kern w:val="0"/>
                      <w:szCs w:val="21"/>
                    </w:rPr>
                    <w:t>）</w:t>
                  </w:r>
                </w:p>
              </w:tc>
              <w:tc>
                <w:tcPr>
                  <w:tcW w:w="1611" w:type="pct"/>
                  <w:shd w:val="clear" w:color="auto" w:fill="auto"/>
                  <w:vAlign w:val="center"/>
                </w:tcPr>
                <w:p>
                  <w:pPr>
                    <w:autoSpaceDE w:val="0"/>
                    <w:autoSpaceDN w:val="0"/>
                    <w:adjustRightInd w:val="0"/>
                    <w:jc w:val="left"/>
                    <w:rPr>
                      <w:rFonts w:ascii="Times New Roman" w:hAnsi="Times New Roman" w:eastAsia="宋体" w:cs="Times New Roman"/>
                      <w:kern w:val="0"/>
                      <w:szCs w:val="21"/>
                    </w:rPr>
                  </w:pPr>
                  <w:r>
                    <w:rPr>
                      <w:rFonts w:ascii="Times New Roman" w:hAnsi="Times New Roman" w:eastAsia="宋体" w:cs="Times New Roman"/>
                      <w:kern w:val="0"/>
                      <w:szCs w:val="21"/>
                    </w:rPr>
                    <w:t>分选要求：（</w:t>
                  </w:r>
                  <w:r>
                    <w:rPr>
                      <w:rFonts w:hint="eastAsia" w:ascii="Times New Roman" w:hAnsi="Times New Roman" w:eastAsia="宋体" w:cs="Times New Roman"/>
                      <w:kern w:val="0"/>
                      <w:szCs w:val="21"/>
                    </w:rPr>
                    <w:t>1</w:t>
                  </w:r>
                  <w:r>
                    <w:rPr>
                      <w:rFonts w:ascii="Times New Roman" w:hAnsi="Times New Roman" w:eastAsia="宋体" w:cs="Times New Roman"/>
                      <w:kern w:val="0"/>
                      <w:szCs w:val="21"/>
                    </w:rPr>
                    <w:t>）</w:t>
                  </w:r>
                  <w:r>
                    <w:rPr>
                      <w:rFonts w:hint="eastAsia" w:ascii="Times New Roman" w:hAnsi="Times New Roman" w:eastAsia="宋体" w:cs="Times New Roman"/>
                      <w:kern w:val="0"/>
                      <w:szCs w:val="21"/>
                    </w:rPr>
                    <w:t>应采用预分选工艺，将废塑料与其他废物分开，提高下游自动化分选的效率。</w:t>
                  </w:r>
                </w:p>
                <w:p>
                  <w:pPr>
                    <w:autoSpaceDE w:val="0"/>
                    <w:autoSpaceDN w:val="0"/>
                    <w:adjustRightInd w:val="0"/>
                    <w:jc w:val="left"/>
                    <w:rPr>
                      <w:rFonts w:ascii="Times New Roman" w:hAnsi="Times New Roman" w:eastAsia="宋体" w:cs="Times New Roman"/>
                      <w:kern w:val="0"/>
                      <w:szCs w:val="21"/>
                    </w:rPr>
                  </w:pPr>
                  <w:r>
                    <w:rPr>
                      <w:rFonts w:hint="eastAsia" w:ascii="Times New Roman" w:hAnsi="Times New Roman" w:eastAsia="宋体" w:cs="Times New Roman"/>
                      <w:kern w:val="0"/>
                      <w:szCs w:val="21"/>
                    </w:rPr>
                    <w:t>（2） 废塑料分选应遵循稳定、二次污染可控的原则，根据废塑料特性，宜采用气流分选、静电分选、</w:t>
                  </w:r>
                </w:p>
                <w:p>
                  <w:pPr>
                    <w:autoSpaceDE w:val="0"/>
                    <w:autoSpaceDN w:val="0"/>
                    <w:adjustRightInd w:val="0"/>
                    <w:jc w:val="left"/>
                    <w:rPr>
                      <w:rFonts w:ascii="Times New Roman" w:hAnsi="Times New Roman" w:eastAsia="TimesNewRomanPSMT" w:cs="Times New Roman"/>
                      <w:kern w:val="0"/>
                      <w:szCs w:val="21"/>
                    </w:rPr>
                  </w:pPr>
                  <w:r>
                    <w:rPr>
                      <w:rFonts w:hint="eastAsia" w:ascii="Times New Roman" w:hAnsi="Times New Roman" w:eastAsia="宋体" w:cs="Times New Roman"/>
                      <w:kern w:val="0"/>
                      <w:szCs w:val="21"/>
                    </w:rPr>
                    <w:t>X 射线荧光分选、近红外分选、熔融过滤分选、低温破碎分选及其他新型的自动化分选等单一或集成化分选技术。</w:t>
                  </w:r>
                </w:p>
              </w:tc>
              <w:tc>
                <w:tcPr>
                  <w:tcW w:w="1264"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本项目前端采用了风选和人工拣选，通过风选筛选出玻璃等其它非塑料材质的瓶子，人工拣选是区分出不同颜色的瓶子。</w:t>
                  </w:r>
                </w:p>
              </w:tc>
              <w:tc>
                <w:tcPr>
                  <w:tcW w:w="340"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pct"/>
                  <w:vMerge w:val="continue"/>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p>
              </w:tc>
              <w:tc>
                <w:tcPr>
                  <w:tcW w:w="1611" w:type="pct"/>
                  <w:shd w:val="clear" w:color="auto" w:fill="auto"/>
                  <w:vAlign w:val="center"/>
                </w:tcPr>
                <w:p>
                  <w:pPr>
                    <w:autoSpaceDE w:val="0"/>
                    <w:autoSpaceDN w:val="0"/>
                    <w:adjustRightInd w:val="0"/>
                    <w:jc w:val="left"/>
                    <w:rPr>
                      <w:rFonts w:ascii="Times New Roman" w:hAnsi="Times New Roman" w:eastAsia="宋体" w:cs="Times New Roman"/>
                      <w:kern w:val="0"/>
                      <w:szCs w:val="21"/>
                    </w:rPr>
                  </w:pPr>
                  <w:r>
                    <w:rPr>
                      <w:rFonts w:hint="eastAsia" w:ascii="Times New Roman" w:hAnsi="Times New Roman" w:eastAsia="宋体" w:cs="Times New Roman"/>
                      <w:kern w:val="0"/>
                      <w:szCs w:val="21"/>
                    </w:rPr>
                    <w:t>破碎要求：废塑料的破碎方法可分为干法破碎和湿法破碎。使用干法破碎时，应配备相应的防尘、防噪声设备。使用湿法破碎时，应有配套的污水收集和处理设施。</w:t>
                  </w:r>
                </w:p>
              </w:tc>
              <w:tc>
                <w:tcPr>
                  <w:tcW w:w="1264"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本项目采用的是湿式破碎，配套有污水收集设施和处理设备。</w:t>
                  </w:r>
                </w:p>
              </w:tc>
              <w:tc>
                <w:tcPr>
                  <w:tcW w:w="340"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pct"/>
                  <w:vMerge w:val="continue"/>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p>
              </w:tc>
              <w:tc>
                <w:tcPr>
                  <w:tcW w:w="1611" w:type="pct"/>
                  <w:shd w:val="clear" w:color="auto" w:fill="auto"/>
                  <w:vAlign w:val="center"/>
                </w:tcPr>
                <w:p>
                  <w:pPr>
                    <w:autoSpaceDE w:val="0"/>
                    <w:autoSpaceDN w:val="0"/>
                    <w:adjustRightInd w:val="0"/>
                    <w:jc w:val="left"/>
                    <w:rPr>
                      <w:rFonts w:ascii="Times New Roman" w:hAnsi="Times New Roman" w:eastAsia="宋体" w:cs="Times New Roman"/>
                      <w:kern w:val="0"/>
                      <w:szCs w:val="21"/>
                    </w:rPr>
                  </w:pPr>
                  <w:r>
                    <w:rPr>
                      <w:rFonts w:hint="eastAsia" w:ascii="Times New Roman" w:hAnsi="Times New Roman" w:eastAsia="宋体" w:cs="Times New Roman"/>
                      <w:kern w:val="0"/>
                      <w:szCs w:val="21"/>
                    </w:rPr>
                    <w:t>清洗要求：</w:t>
                  </w:r>
                </w:p>
                <w:p>
                  <w:pPr>
                    <w:autoSpaceDE w:val="0"/>
                    <w:autoSpaceDN w:val="0"/>
                    <w:adjustRightInd w:val="0"/>
                    <w:jc w:val="left"/>
                    <w:rPr>
                      <w:rFonts w:ascii="Times New Roman" w:hAnsi="Times New Roman" w:eastAsia="宋体" w:cs="Times New Roman"/>
                      <w:kern w:val="0"/>
                      <w:szCs w:val="21"/>
                    </w:rPr>
                  </w:pPr>
                  <w:r>
                    <w:rPr>
                      <w:rFonts w:hint="eastAsia" w:ascii="Times New Roman" w:hAnsi="Times New Roman" w:eastAsia="宋体" w:cs="Times New Roman"/>
                      <w:kern w:val="0"/>
                      <w:szCs w:val="21"/>
                    </w:rPr>
                    <w:t>（1） 宜采用节水的自动化清洗技术，宜采用无磷清洗剂或其他绿色清洗剂，不得使用有毒有害的清洗剂。</w:t>
                  </w:r>
                </w:p>
                <w:p>
                  <w:pPr>
                    <w:autoSpaceDE w:val="0"/>
                    <w:autoSpaceDN w:val="0"/>
                    <w:adjustRightInd w:val="0"/>
                    <w:jc w:val="left"/>
                    <w:rPr>
                      <w:rFonts w:ascii="Times New Roman" w:hAnsi="Times New Roman" w:eastAsia="宋体" w:cs="Times New Roman"/>
                      <w:kern w:val="0"/>
                      <w:szCs w:val="21"/>
                    </w:rPr>
                  </w:pPr>
                  <w:r>
                    <w:rPr>
                      <w:rFonts w:hint="eastAsia" w:ascii="Times New Roman" w:hAnsi="Times New Roman" w:eastAsia="宋体" w:cs="Times New Roman"/>
                      <w:kern w:val="0"/>
                      <w:szCs w:val="21"/>
                    </w:rPr>
                    <w:t>（2） 应根据清洗废水中污染物的种类和浓度，配备相应的废水收集和处理设施，清洗废水处理后宜循环使用。</w:t>
                  </w:r>
                </w:p>
                <w:p>
                  <w:pPr>
                    <w:autoSpaceDE w:val="0"/>
                    <w:autoSpaceDN w:val="0"/>
                    <w:adjustRightInd w:val="0"/>
                    <w:jc w:val="left"/>
                    <w:rPr>
                      <w:rFonts w:ascii="Times New Roman" w:hAnsi="Times New Roman" w:eastAsia="宋体" w:cs="Times New Roman"/>
                      <w:kern w:val="0"/>
                      <w:szCs w:val="21"/>
                    </w:rPr>
                  </w:pPr>
                </w:p>
              </w:tc>
              <w:tc>
                <w:tcPr>
                  <w:tcW w:w="1264"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本项目不涉及清洗工序</w:t>
                  </w:r>
                </w:p>
              </w:tc>
              <w:tc>
                <w:tcPr>
                  <w:tcW w:w="340"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pct"/>
                  <w:vMerge w:val="continue"/>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p>
              </w:tc>
              <w:tc>
                <w:tcPr>
                  <w:tcW w:w="1611" w:type="pct"/>
                  <w:shd w:val="clear" w:color="auto" w:fill="auto"/>
                  <w:vAlign w:val="center"/>
                </w:tcPr>
                <w:p>
                  <w:pPr>
                    <w:autoSpaceDE w:val="0"/>
                    <w:autoSpaceDN w:val="0"/>
                    <w:adjustRightInd w:val="0"/>
                    <w:jc w:val="left"/>
                    <w:rPr>
                      <w:rFonts w:ascii="Times New Roman" w:hAnsi="Times New Roman" w:eastAsia="宋体" w:cs="Times New Roman"/>
                      <w:kern w:val="0"/>
                      <w:szCs w:val="21"/>
                    </w:rPr>
                  </w:pPr>
                  <w:r>
                    <w:rPr>
                      <w:rFonts w:hint="eastAsia" w:ascii="Times New Roman" w:hAnsi="Times New Roman" w:eastAsia="宋体" w:cs="Times New Roman"/>
                      <w:kern w:val="0"/>
                      <w:szCs w:val="21"/>
                    </w:rPr>
                    <w:t>干燥要求：宜选择闭路循环式干燥设备。干燥环节应配备废气收集和处理设施，防止二次污染。</w:t>
                  </w:r>
                </w:p>
              </w:tc>
              <w:tc>
                <w:tcPr>
                  <w:tcW w:w="1264" w:type="pct"/>
                  <w:shd w:val="clear" w:color="auto" w:fill="auto"/>
                  <w:vAlign w:val="center"/>
                </w:tcPr>
                <w:p>
                  <w:pPr>
                    <w:autoSpaceDE w:val="0"/>
                    <w:autoSpaceDN w:val="0"/>
                    <w:adjustRightInd w:val="0"/>
                    <w:jc w:val="left"/>
                    <w:rPr>
                      <w:rFonts w:ascii="Times New Roman" w:hAnsi="Times New Roman" w:eastAsia="宋体" w:cs="Times New Roman"/>
                      <w:kern w:val="0"/>
                      <w:szCs w:val="21"/>
                    </w:rPr>
                  </w:pPr>
                  <w:r>
                    <w:rPr>
                      <w:rFonts w:ascii="Times New Roman" w:hAnsi="Times New Roman" w:eastAsia="宋体" w:cs="Times New Roman"/>
                      <w:kern w:val="0"/>
                      <w:szCs w:val="21"/>
                    </w:rPr>
                    <w:t>本项目湿式破碎和湿式筛分后配套有密闭的甩干工序，不需要热源，不产生废气。</w:t>
                  </w:r>
                </w:p>
              </w:tc>
              <w:tc>
                <w:tcPr>
                  <w:tcW w:w="340" w:type="pct"/>
                  <w:shd w:val="clear" w:color="auto" w:fill="auto"/>
                  <w:vAlign w:val="center"/>
                </w:tcPr>
                <w:p>
                  <w:pPr>
                    <w:autoSpaceDE w:val="0"/>
                    <w:autoSpaceDN w:val="0"/>
                    <w:adjustRightInd w:val="0"/>
                    <w:snapToGrid w:val="0"/>
                    <w:jc w:val="center"/>
                    <w:rPr>
                      <w:rFonts w:ascii="Times New Roman" w:hAnsi="Times New Roman" w:eastAsia="宋体" w:cs="Times New Roman"/>
                      <w:kern w:val="0"/>
                      <w:szCs w:val="21"/>
                    </w:rPr>
                  </w:pPr>
                  <w:r>
                    <w:rPr>
                      <w:rFonts w:ascii="Times New Roman" w:hAnsi="Times New Roman" w:eastAsia="宋体" w:cs="Times New Roman"/>
                      <w:kern w:val="0"/>
                      <w:szCs w:val="21"/>
                    </w:rPr>
                    <w:t>符合</w:t>
                  </w:r>
                </w:p>
              </w:tc>
            </w:tr>
          </w:tbl>
          <w:p>
            <w:pPr>
              <w:autoSpaceDE w:val="0"/>
              <w:autoSpaceDN w:val="0"/>
              <w:adjustRightInd w:val="0"/>
              <w:snapToGrid w:val="0"/>
              <w:spacing w:line="360" w:lineRule="auto"/>
              <w:ind w:firstLine="420" w:firstLineChars="200"/>
              <w:jc w:val="left"/>
              <w:rPr>
                <w:rFonts w:ascii="宋体" w:hAnsi="宋体" w:eastAsia="宋体" w:cs="宋体"/>
                <w:kern w:val="0"/>
                <w:szCs w:val="21"/>
              </w:rPr>
            </w:pPr>
          </w:p>
          <w:p>
            <w:pPr>
              <w:autoSpaceDE w:val="0"/>
              <w:autoSpaceDN w:val="0"/>
              <w:adjustRightInd w:val="0"/>
              <w:snapToGrid w:val="0"/>
              <w:spacing w:line="360" w:lineRule="auto"/>
              <w:ind w:firstLine="420" w:firstLineChars="200"/>
              <w:jc w:val="left"/>
              <w:rPr>
                <w:rFonts w:ascii="宋体" w:hAnsi="宋体" w:eastAsia="宋体" w:cs="宋体"/>
                <w:kern w:val="0"/>
                <w:szCs w:val="21"/>
              </w:rPr>
            </w:pPr>
          </w:p>
          <w:p>
            <w:pPr>
              <w:autoSpaceDE w:val="0"/>
              <w:autoSpaceDN w:val="0"/>
              <w:adjustRightInd w:val="0"/>
              <w:snapToGrid w:val="0"/>
              <w:spacing w:line="360" w:lineRule="auto"/>
              <w:ind w:firstLine="420" w:firstLineChars="200"/>
              <w:jc w:val="left"/>
              <w:rPr>
                <w:rFonts w:ascii="宋体" w:hAnsi="宋体" w:eastAsia="宋体" w:cs="宋体"/>
                <w:kern w:val="0"/>
                <w:szCs w:val="21"/>
              </w:rPr>
            </w:pPr>
          </w:p>
          <w:p>
            <w:pPr>
              <w:autoSpaceDE w:val="0"/>
              <w:autoSpaceDN w:val="0"/>
              <w:adjustRightInd w:val="0"/>
              <w:snapToGrid w:val="0"/>
              <w:spacing w:line="360" w:lineRule="auto"/>
              <w:ind w:firstLine="420" w:firstLineChars="200"/>
              <w:jc w:val="left"/>
              <w:rPr>
                <w:rFonts w:ascii="宋体" w:hAnsi="宋体" w:eastAsia="宋体" w:cs="宋体"/>
                <w:kern w:val="0"/>
                <w:szCs w:val="21"/>
              </w:rPr>
            </w:pPr>
          </w:p>
          <w:p>
            <w:pPr>
              <w:autoSpaceDE w:val="0"/>
              <w:autoSpaceDN w:val="0"/>
              <w:adjustRightInd w:val="0"/>
              <w:snapToGrid w:val="0"/>
              <w:spacing w:line="360" w:lineRule="auto"/>
              <w:ind w:firstLine="420" w:firstLineChars="200"/>
              <w:jc w:val="left"/>
              <w:rPr>
                <w:rFonts w:ascii="宋体" w:hAnsi="宋体" w:eastAsia="宋体" w:cs="宋体"/>
                <w:kern w:val="0"/>
                <w:szCs w:val="21"/>
              </w:rPr>
            </w:pPr>
          </w:p>
          <w:p>
            <w:pPr>
              <w:autoSpaceDE w:val="0"/>
              <w:autoSpaceDN w:val="0"/>
              <w:adjustRightInd w:val="0"/>
              <w:snapToGrid w:val="0"/>
              <w:spacing w:line="360" w:lineRule="auto"/>
              <w:ind w:firstLine="420" w:firstLineChars="200"/>
              <w:jc w:val="left"/>
              <w:rPr>
                <w:rFonts w:ascii="宋体" w:hAnsi="宋体" w:eastAsia="宋体" w:cs="宋体"/>
                <w:kern w:val="0"/>
                <w:szCs w:val="21"/>
              </w:rPr>
            </w:pPr>
          </w:p>
          <w:p>
            <w:pPr>
              <w:autoSpaceDE w:val="0"/>
              <w:autoSpaceDN w:val="0"/>
              <w:adjustRightInd w:val="0"/>
              <w:snapToGrid w:val="0"/>
              <w:spacing w:line="360" w:lineRule="auto"/>
              <w:ind w:firstLine="420" w:firstLineChars="200"/>
              <w:jc w:val="left"/>
              <w:rPr>
                <w:rFonts w:ascii="宋体" w:hAnsi="宋体" w:eastAsia="宋体" w:cs="宋体"/>
                <w:kern w:val="0"/>
                <w:szCs w:val="21"/>
              </w:rPr>
            </w:pPr>
          </w:p>
          <w:p>
            <w:pPr>
              <w:autoSpaceDE w:val="0"/>
              <w:autoSpaceDN w:val="0"/>
              <w:adjustRightInd w:val="0"/>
              <w:snapToGrid w:val="0"/>
              <w:spacing w:line="360" w:lineRule="auto"/>
              <w:ind w:firstLine="420" w:firstLineChars="200"/>
              <w:jc w:val="left"/>
              <w:rPr>
                <w:rFonts w:ascii="宋体" w:hAnsi="宋体" w:eastAsia="宋体" w:cs="宋体"/>
                <w:kern w:val="0"/>
                <w:szCs w:val="21"/>
              </w:rPr>
            </w:pPr>
          </w:p>
          <w:p>
            <w:pPr>
              <w:autoSpaceDE w:val="0"/>
              <w:autoSpaceDN w:val="0"/>
              <w:adjustRightInd w:val="0"/>
              <w:snapToGrid w:val="0"/>
              <w:spacing w:line="360" w:lineRule="auto"/>
              <w:ind w:firstLine="420" w:firstLineChars="200"/>
              <w:jc w:val="left"/>
              <w:rPr>
                <w:rFonts w:ascii="宋体" w:hAnsi="宋体" w:eastAsia="宋体" w:cs="宋体"/>
                <w:kern w:val="0"/>
                <w:szCs w:val="21"/>
              </w:rPr>
            </w:pPr>
          </w:p>
          <w:p>
            <w:pPr>
              <w:autoSpaceDE w:val="0"/>
              <w:autoSpaceDN w:val="0"/>
              <w:adjustRightInd w:val="0"/>
              <w:snapToGrid w:val="0"/>
              <w:spacing w:line="360" w:lineRule="auto"/>
              <w:ind w:firstLine="420" w:firstLineChars="200"/>
              <w:jc w:val="left"/>
              <w:rPr>
                <w:rFonts w:ascii="宋体" w:hAnsi="宋体" w:eastAsia="宋体" w:cs="宋体"/>
                <w:kern w:val="0"/>
                <w:szCs w:val="21"/>
              </w:rPr>
            </w:pPr>
          </w:p>
          <w:p>
            <w:pPr>
              <w:autoSpaceDE w:val="0"/>
              <w:autoSpaceDN w:val="0"/>
              <w:adjustRightInd w:val="0"/>
              <w:snapToGrid w:val="0"/>
              <w:spacing w:line="360" w:lineRule="auto"/>
              <w:ind w:firstLine="420" w:firstLineChars="200"/>
              <w:jc w:val="left"/>
              <w:rPr>
                <w:rFonts w:ascii="宋体" w:hAnsi="宋体" w:eastAsia="宋体" w:cs="宋体"/>
                <w:kern w:val="0"/>
                <w:szCs w:val="21"/>
              </w:rPr>
            </w:pPr>
          </w:p>
          <w:p>
            <w:pPr>
              <w:autoSpaceDE w:val="0"/>
              <w:autoSpaceDN w:val="0"/>
              <w:adjustRightInd w:val="0"/>
              <w:snapToGrid w:val="0"/>
              <w:spacing w:line="360" w:lineRule="auto"/>
              <w:ind w:firstLine="420" w:firstLineChars="200"/>
              <w:jc w:val="left"/>
              <w:rPr>
                <w:rFonts w:ascii="宋体" w:hAnsi="宋体" w:eastAsia="宋体" w:cs="宋体"/>
                <w:kern w:val="0"/>
                <w:szCs w:val="21"/>
              </w:rPr>
            </w:pPr>
          </w:p>
          <w:p>
            <w:pPr>
              <w:autoSpaceDE w:val="0"/>
              <w:autoSpaceDN w:val="0"/>
              <w:adjustRightInd w:val="0"/>
              <w:snapToGrid w:val="0"/>
              <w:spacing w:line="360" w:lineRule="auto"/>
              <w:ind w:firstLine="420" w:firstLineChars="200"/>
              <w:jc w:val="left"/>
              <w:rPr>
                <w:rFonts w:ascii="宋体" w:hAnsi="宋体" w:eastAsia="宋体" w:cs="宋体"/>
                <w:kern w:val="0"/>
                <w:szCs w:val="21"/>
              </w:rPr>
            </w:pPr>
          </w:p>
          <w:p>
            <w:pPr>
              <w:autoSpaceDE w:val="0"/>
              <w:autoSpaceDN w:val="0"/>
              <w:adjustRightInd w:val="0"/>
              <w:snapToGrid w:val="0"/>
              <w:spacing w:line="360" w:lineRule="auto"/>
              <w:ind w:firstLine="420" w:firstLineChars="200"/>
              <w:jc w:val="left"/>
              <w:rPr>
                <w:rFonts w:ascii="宋体" w:hAnsi="宋体" w:eastAsia="宋体" w:cs="宋体"/>
                <w:kern w:val="0"/>
                <w:szCs w:val="21"/>
              </w:rPr>
            </w:pPr>
          </w:p>
          <w:p>
            <w:pPr>
              <w:autoSpaceDE w:val="0"/>
              <w:autoSpaceDN w:val="0"/>
              <w:adjustRightInd w:val="0"/>
              <w:snapToGrid w:val="0"/>
              <w:spacing w:line="360" w:lineRule="auto"/>
              <w:ind w:firstLine="420" w:firstLineChars="200"/>
              <w:jc w:val="left"/>
              <w:rPr>
                <w:rFonts w:ascii="宋体" w:hAnsi="宋体" w:eastAsia="宋体" w:cs="宋体"/>
                <w:kern w:val="0"/>
                <w:szCs w:val="21"/>
              </w:rPr>
            </w:pPr>
          </w:p>
          <w:p>
            <w:pPr>
              <w:autoSpaceDE w:val="0"/>
              <w:autoSpaceDN w:val="0"/>
              <w:adjustRightInd w:val="0"/>
              <w:snapToGrid w:val="0"/>
              <w:spacing w:line="360" w:lineRule="auto"/>
              <w:ind w:firstLine="420" w:firstLineChars="200"/>
              <w:jc w:val="left"/>
              <w:rPr>
                <w:rFonts w:ascii="宋体" w:hAnsi="宋体" w:eastAsia="宋体" w:cs="宋体"/>
                <w:kern w:val="0"/>
                <w:szCs w:val="21"/>
              </w:rPr>
            </w:pPr>
          </w:p>
          <w:p>
            <w:pPr>
              <w:autoSpaceDE w:val="0"/>
              <w:autoSpaceDN w:val="0"/>
              <w:adjustRightInd w:val="0"/>
              <w:snapToGrid w:val="0"/>
              <w:spacing w:line="360" w:lineRule="auto"/>
              <w:ind w:firstLine="420" w:firstLineChars="200"/>
              <w:jc w:val="left"/>
              <w:rPr>
                <w:rFonts w:ascii="宋体" w:hAnsi="宋体" w:eastAsia="宋体" w:cs="宋体"/>
                <w:kern w:val="0"/>
                <w:szCs w:val="21"/>
              </w:rPr>
            </w:pPr>
          </w:p>
          <w:p>
            <w:pPr>
              <w:autoSpaceDE w:val="0"/>
              <w:autoSpaceDN w:val="0"/>
              <w:adjustRightInd w:val="0"/>
              <w:snapToGrid w:val="0"/>
              <w:spacing w:line="360" w:lineRule="auto"/>
              <w:ind w:firstLine="420" w:firstLineChars="200"/>
              <w:jc w:val="left"/>
              <w:rPr>
                <w:rFonts w:ascii="宋体" w:hAnsi="宋体" w:eastAsia="宋体" w:cs="宋体"/>
                <w:kern w:val="0"/>
                <w:szCs w:val="21"/>
              </w:rPr>
            </w:pPr>
          </w:p>
        </w:tc>
      </w:tr>
    </w:tbl>
    <w:p>
      <w:pPr>
        <w:widowControl/>
        <w:spacing w:before="100" w:beforeAutospacing="1" w:after="100" w:afterAutospacing="1"/>
        <w:jc w:val="center"/>
        <w:outlineLvl w:val="0"/>
        <w:rPr>
          <w:rFonts w:ascii="黑体" w:hAnsi="黑体" w:eastAsia="黑体" w:cs="Times New Roman"/>
          <w:snapToGrid w:val="0"/>
          <w:kern w:val="0"/>
          <w:sz w:val="30"/>
          <w:szCs w:val="30"/>
          <w:lang w:val="zh-CN"/>
        </w:rPr>
        <w:sectPr>
          <w:footerReference r:id="rId7" w:type="default"/>
          <w:headerReference r:id="rId6" w:type="even"/>
          <w:footerReference r:id="rId8" w:type="even"/>
          <w:pgSz w:w="11906" w:h="16838"/>
          <w:pgMar w:top="1701" w:right="1531" w:bottom="1701" w:left="1531" w:header="851" w:footer="851" w:gutter="0"/>
          <w:pgNumType w:start="1"/>
          <w:cols w:space="720" w:num="1"/>
          <w:docGrid w:linePitch="312" w:charSpace="0"/>
        </w:sectPr>
      </w:pPr>
    </w:p>
    <w:p>
      <w:pPr>
        <w:widowControl/>
        <w:spacing w:before="100" w:beforeAutospacing="1" w:after="100" w:afterAutospacing="1"/>
        <w:jc w:val="center"/>
        <w:outlineLvl w:val="0"/>
        <w:rPr>
          <w:rFonts w:ascii="黑体" w:hAnsi="黑体" w:eastAsia="黑体" w:cs="Times New Roman"/>
          <w:snapToGrid w:val="0"/>
          <w:kern w:val="0"/>
          <w:sz w:val="30"/>
          <w:szCs w:val="30"/>
          <w:lang w:val="zh-CN"/>
        </w:rPr>
      </w:pPr>
      <w:r>
        <w:rPr>
          <w:rFonts w:hint="eastAsia" w:ascii="黑体" w:hAnsi="黑体" w:eastAsia="黑体" w:cs="Times New Roman"/>
          <w:snapToGrid w:val="0"/>
          <w:kern w:val="0"/>
          <w:sz w:val="30"/>
          <w:szCs w:val="30"/>
          <w:lang w:val="zh-CN"/>
        </w:rPr>
        <w:t>二、建设项目工程分析</w:t>
      </w:r>
    </w:p>
    <w:tbl>
      <w:tblPr>
        <w:tblStyle w:val="1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823"/>
        <w:gridCol w:w="821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524" w:hRule="atLeast"/>
          <w:jc w:val="center"/>
        </w:trPr>
        <w:tc>
          <w:tcPr>
            <w:tcW w:w="823" w:type="dxa"/>
            <w:vAlign w:val="center"/>
          </w:tcPr>
          <w:p>
            <w:pPr>
              <w:widowControl/>
              <w:adjustRightInd w:val="0"/>
              <w:snapToGrid w:val="0"/>
              <w:jc w:val="center"/>
              <w:rPr>
                <w:rFonts w:ascii="宋体" w:hAnsi="宋体" w:eastAsia="宋体" w:cs="宋体"/>
                <w:kern w:val="0"/>
                <w:szCs w:val="21"/>
              </w:rPr>
            </w:pPr>
            <w:r>
              <w:rPr>
                <w:rFonts w:hint="eastAsia" w:ascii="宋体" w:hAnsi="宋体" w:eastAsia="宋体" w:cs="宋体"/>
                <w:kern w:val="0"/>
                <w:szCs w:val="21"/>
              </w:rPr>
              <w:t>建设内容</w:t>
            </w:r>
          </w:p>
        </w:tc>
        <w:tc>
          <w:tcPr>
            <w:tcW w:w="8161" w:type="dxa"/>
          </w:tcPr>
          <w:p>
            <w:pPr>
              <w:adjustRightInd w:val="0"/>
              <w:snapToGrid w:val="0"/>
              <w:spacing w:line="360" w:lineRule="auto"/>
              <w:ind w:firstLine="482"/>
              <w:jc w:val="left"/>
              <w:rPr>
                <w:rFonts w:ascii="Times New Roman" w:hAnsi="Times New Roman" w:eastAsia="宋体" w:cs="Times New Roman"/>
                <w:szCs w:val="24"/>
              </w:rPr>
            </w:pPr>
            <w:r>
              <w:rPr>
                <w:rFonts w:hint="eastAsia" w:ascii="Times New Roman" w:hAnsi="Times New Roman" w:eastAsia="宋体" w:cs="Times New Roman"/>
                <w:szCs w:val="24"/>
              </w:rPr>
              <w:t>1、项目由来</w:t>
            </w:r>
          </w:p>
          <w:p>
            <w:pPr>
              <w:adjustRightInd w:val="0"/>
              <w:snapToGrid w:val="0"/>
              <w:spacing w:line="360" w:lineRule="auto"/>
              <w:ind w:firstLine="482"/>
              <w:jc w:val="left"/>
              <w:rPr>
                <w:rFonts w:ascii="Times New Roman" w:hAnsi="Times New Roman" w:eastAsia="宋体" w:cs="Times New Roman"/>
                <w:szCs w:val="24"/>
              </w:rPr>
            </w:pPr>
            <w:r>
              <w:rPr>
                <w:rFonts w:hint="eastAsia" w:ascii="Times New Roman" w:hAnsi="Times New Roman" w:eastAsia="宋体" w:cs="Times New Roman"/>
                <w:szCs w:val="24"/>
              </w:rPr>
              <w:t>近年来，塑料被广泛应用于农业及人民的日常生活之中，给人类带来了巨大方便，同时也留下了无穷的后患。塑料在常温下不易老化降解，从而形成了白色污染，使生产环境遭受严重破坏。但是，废旧塑料仍具有良好的综合材料性能，可满足吹膜、拉丝、拉管、注塑、挤出型材等技术要求，大量应用于塑料制品的生产，为了消除或减少废旧塑料造成的污染，本项目将废旧塑料加工成片料，不仅解决了塑料垃圾污染，保护了生态环境，又节约了能源，变废为宝，可创造巨大的经济效益和社会效益。</w:t>
            </w:r>
          </w:p>
          <w:p>
            <w:pPr>
              <w:adjustRightInd w:val="0"/>
              <w:snapToGrid w:val="0"/>
              <w:spacing w:line="360" w:lineRule="auto"/>
              <w:ind w:firstLine="482"/>
              <w:jc w:val="left"/>
              <w:rPr>
                <w:rFonts w:ascii="Times New Roman" w:hAnsi="Times New Roman" w:eastAsia="宋体" w:cs="Times New Roman"/>
                <w:szCs w:val="24"/>
              </w:rPr>
            </w:pPr>
            <w:r>
              <w:rPr>
                <w:rFonts w:hint="eastAsia" w:ascii="Times New Roman" w:hAnsi="Times New Roman" w:eastAsia="宋体" w:cs="Times New Roman"/>
                <w:szCs w:val="24"/>
              </w:rPr>
              <w:t>为了适应市场需求，响应国家废旧资源回收利用的相关产业政策，</w:t>
            </w:r>
            <w:r>
              <w:rPr>
                <w:rFonts w:hint="eastAsia" w:ascii="Times New Roman" w:hAnsi="宋体" w:eastAsia="宋体" w:cs="Times New Roman"/>
                <w:szCs w:val="21"/>
              </w:rPr>
              <w:t>抚宁区兴达塑料制品经营部</w:t>
            </w:r>
            <w:r>
              <w:rPr>
                <w:rFonts w:hint="eastAsia" w:ascii="Times New Roman" w:hAnsi="Times New Roman" w:eastAsia="宋体" w:cs="Times New Roman"/>
                <w:szCs w:val="24"/>
              </w:rPr>
              <w:t>租赁抚宁区留守营镇毛家营村村民委员会渤海大修厂用地，投资400万元建设</w:t>
            </w:r>
            <w:r>
              <w:rPr>
                <w:rFonts w:hint="eastAsia" w:ascii="Times New Roman" w:hAnsi="宋体" w:eastAsia="宋体" w:cs="Times New Roman"/>
                <w:szCs w:val="21"/>
              </w:rPr>
              <w:t>回收破碎加工生活及食品类塑料新建项目</w:t>
            </w:r>
            <w:r>
              <w:rPr>
                <w:rFonts w:hint="eastAsia" w:ascii="Times New Roman" w:hAnsi="Times New Roman" w:eastAsia="宋体" w:cs="Times New Roman"/>
                <w:szCs w:val="24"/>
              </w:rPr>
              <w:t>。新建三条回收破碎加工生活及食品类塑料生产线，年加工废塑料30000吨。</w:t>
            </w:r>
          </w:p>
          <w:p>
            <w:pPr>
              <w:adjustRightInd w:val="0"/>
              <w:snapToGrid w:val="0"/>
              <w:spacing w:line="360" w:lineRule="auto"/>
              <w:ind w:firstLine="482"/>
              <w:jc w:val="left"/>
              <w:rPr>
                <w:rFonts w:ascii="Times New Roman" w:hAnsi="Times New Roman" w:eastAsia="宋体" w:cs="Times New Roman"/>
                <w:szCs w:val="24"/>
              </w:rPr>
            </w:pPr>
            <w:r>
              <w:rPr>
                <w:rFonts w:hint="eastAsia" w:ascii="Times New Roman" w:hAnsi="Times New Roman" w:eastAsia="宋体" w:cs="Times New Roman"/>
                <w:szCs w:val="24"/>
              </w:rPr>
              <w:t>根据《中华人民共和国环境影响评价法》、《国务院关于修改〈建设项目环境保护管理条例〉的决定》（中华人民共和国国务院令第</w:t>
            </w:r>
            <w:r>
              <w:rPr>
                <w:rFonts w:ascii="Times New Roman" w:hAnsi="Times New Roman" w:eastAsia="宋体" w:cs="Times New Roman"/>
                <w:szCs w:val="24"/>
              </w:rPr>
              <w:t xml:space="preserve">682 </w:t>
            </w:r>
            <w:r>
              <w:rPr>
                <w:rFonts w:hint="eastAsia" w:ascii="Times New Roman" w:hAnsi="Times New Roman" w:eastAsia="宋体" w:cs="Times New Roman"/>
                <w:szCs w:val="24"/>
              </w:rPr>
              <w:t>号）及《建设项目环境影响评价分类管理名录》（</w:t>
            </w:r>
            <w:r>
              <w:rPr>
                <w:rFonts w:ascii="Times New Roman" w:hAnsi="Times New Roman" w:eastAsia="宋体" w:cs="Times New Roman"/>
                <w:szCs w:val="24"/>
              </w:rPr>
              <w:t xml:space="preserve">2021 </w:t>
            </w:r>
            <w:r>
              <w:rPr>
                <w:rFonts w:hint="eastAsia" w:ascii="Times New Roman" w:hAnsi="Times New Roman" w:eastAsia="宋体" w:cs="Times New Roman"/>
                <w:szCs w:val="24"/>
              </w:rPr>
              <w:t>年版）中的有关规定，本项目属于“三十九、废弃资源综合利用业</w:t>
            </w:r>
            <w:r>
              <w:rPr>
                <w:rFonts w:ascii="Times New Roman" w:hAnsi="Times New Roman" w:eastAsia="宋体" w:cs="Times New Roman"/>
                <w:szCs w:val="24"/>
              </w:rPr>
              <w:t>42</w:t>
            </w:r>
            <w:r>
              <w:rPr>
                <w:rFonts w:hint="eastAsia" w:ascii="Times New Roman" w:hAnsi="Times New Roman" w:eastAsia="宋体" w:cs="Times New Roman"/>
                <w:szCs w:val="24"/>
              </w:rPr>
              <w:t>”中“</w:t>
            </w:r>
            <w:r>
              <w:rPr>
                <w:rFonts w:ascii="Times New Roman" w:hAnsi="Times New Roman" w:eastAsia="宋体" w:cs="Times New Roman"/>
                <w:szCs w:val="24"/>
              </w:rPr>
              <w:t>85</w:t>
            </w:r>
            <w:r>
              <w:rPr>
                <w:rFonts w:hint="eastAsia" w:ascii="Times New Roman" w:hAnsi="Times New Roman" w:eastAsia="宋体" w:cs="Times New Roman"/>
                <w:szCs w:val="24"/>
              </w:rPr>
              <w:t>非金属废料和碎屑加工处理</w:t>
            </w:r>
            <w:r>
              <w:rPr>
                <w:rFonts w:ascii="Times New Roman" w:hAnsi="Times New Roman" w:eastAsia="宋体" w:cs="Times New Roman"/>
                <w:szCs w:val="24"/>
              </w:rPr>
              <w:t>422</w:t>
            </w:r>
            <w:r>
              <w:rPr>
                <w:rFonts w:hint="eastAsia" w:ascii="Times New Roman" w:hAnsi="Times New Roman" w:eastAsia="宋体" w:cs="Times New Roman"/>
                <w:szCs w:val="24"/>
              </w:rPr>
              <w:t>（不含原料为危险废物的，均不含仅分拣、破碎的）”中“废塑料加工处理”类项目，因此需编制环境影响报告表。</w:t>
            </w:r>
          </w:p>
          <w:p>
            <w:pPr>
              <w:adjustRightInd w:val="0"/>
              <w:snapToGrid w:val="0"/>
              <w:spacing w:line="360" w:lineRule="auto"/>
              <w:ind w:firstLine="482"/>
              <w:jc w:val="left"/>
              <w:rPr>
                <w:rFonts w:ascii="宋体" w:hAnsi="宋体" w:eastAsia="宋体" w:cs="宋体"/>
                <w:b/>
                <w:bCs/>
                <w:sz w:val="24"/>
                <w:szCs w:val="24"/>
              </w:rPr>
            </w:pPr>
            <w:r>
              <w:rPr>
                <w:rFonts w:hint="eastAsia" w:ascii="宋体" w:hAnsi="宋体" w:eastAsia="宋体" w:cs="宋体"/>
                <w:b/>
                <w:bCs/>
                <w:sz w:val="24"/>
                <w:szCs w:val="24"/>
              </w:rPr>
              <w:t>1、项目主要建设内容</w:t>
            </w:r>
          </w:p>
          <w:p>
            <w:pPr>
              <w:adjustRightInd w:val="0"/>
              <w:snapToGrid w:val="0"/>
              <w:spacing w:line="360" w:lineRule="auto"/>
              <w:ind w:firstLine="420" w:firstLineChars="200"/>
              <w:jc w:val="left"/>
              <w:rPr>
                <w:rFonts w:ascii="Times New Roman" w:hAnsi="宋体" w:eastAsia="宋体" w:cs="Times New Roman"/>
                <w:bCs/>
                <w:szCs w:val="21"/>
              </w:rPr>
            </w:pPr>
            <w:r>
              <w:rPr>
                <w:rFonts w:hint="eastAsia" w:ascii="Times New Roman" w:hAnsi="宋体" w:eastAsia="宋体" w:cs="Times New Roman"/>
                <w:bCs/>
                <w:szCs w:val="21"/>
              </w:rPr>
              <w:t>租用抚宁区留守营镇毛家营村村民委员会渤海大修厂，面积7150.74平方米。新建一座490㎡厂房，新建三条回收破碎加工生活及食品类塑料生产线，年加工</w:t>
            </w:r>
            <w:r>
              <w:rPr>
                <w:rFonts w:hint="eastAsia" w:ascii="Times New Roman" w:hAnsi="宋体" w:eastAsia="宋体" w:cs="Times New Roman"/>
                <w:bCs/>
                <w:szCs w:val="21"/>
                <w:lang w:eastAsia="zh-CN"/>
              </w:rPr>
              <w:t>废</w:t>
            </w:r>
            <w:r>
              <w:rPr>
                <w:rFonts w:hint="eastAsia" w:ascii="Times New Roman" w:hAnsi="宋体" w:eastAsia="宋体" w:cs="Times New Roman"/>
                <w:bCs/>
                <w:szCs w:val="21"/>
              </w:rPr>
              <w:t>塑料30000吨。生产设备：购置粉碎机、传送带、甩干机、</w:t>
            </w:r>
            <w:r>
              <w:rPr>
                <w:rFonts w:hint="eastAsia" w:ascii="Times New Roman" w:hAnsi="宋体" w:eastAsia="宋体" w:cs="Times New Roman"/>
                <w:bCs/>
                <w:szCs w:val="21"/>
                <w:lang w:eastAsia="zh-CN"/>
              </w:rPr>
              <w:t>扒瓶</w:t>
            </w:r>
            <w:r>
              <w:rPr>
                <w:rFonts w:hint="eastAsia" w:ascii="Times New Roman" w:hAnsi="宋体" w:eastAsia="宋体" w:cs="Times New Roman"/>
                <w:bCs/>
                <w:szCs w:val="21"/>
              </w:rPr>
              <w:t>机、筛分槽、打包机、水处理等设备若干台。</w:t>
            </w:r>
          </w:p>
          <w:p>
            <w:pPr>
              <w:adjustRightInd w:val="0"/>
              <w:snapToGrid w:val="0"/>
              <w:spacing w:line="360" w:lineRule="auto"/>
              <w:ind w:firstLine="420" w:firstLineChars="200"/>
              <w:jc w:val="left"/>
              <w:rPr>
                <w:rFonts w:ascii="Times New Roman" w:hAnsi="宋体" w:eastAsia="宋体" w:cs="Times New Roman"/>
                <w:bCs/>
                <w:szCs w:val="21"/>
              </w:rPr>
            </w:pPr>
            <w:r>
              <w:rPr>
                <w:rFonts w:hint="eastAsia" w:ascii="Times New Roman" w:hAnsi="宋体" w:eastAsia="宋体" w:cs="Times New Roman"/>
                <w:bCs/>
                <w:szCs w:val="21"/>
              </w:rPr>
              <w:t>项目组成详细情况见下表。</w:t>
            </w:r>
          </w:p>
          <w:p>
            <w:pPr>
              <w:adjustRightInd w:val="0"/>
              <w:snapToGrid w:val="0"/>
              <w:spacing w:before="120" w:beforeLines="50"/>
              <w:ind w:firstLine="422"/>
              <w:jc w:val="center"/>
              <w:rPr>
                <w:rFonts w:ascii="Times New Roman" w:hAnsi="Times New Roman" w:eastAsia="宋体" w:cs="Times New Roman"/>
                <w:b/>
                <w:bCs/>
                <w:szCs w:val="21"/>
              </w:rPr>
            </w:pPr>
            <w:r>
              <w:rPr>
                <w:rFonts w:ascii="Times New Roman" w:hAnsi="Times New Roman" w:eastAsia="宋体" w:cs="Times New Roman"/>
                <w:b/>
                <w:bCs/>
                <w:szCs w:val="21"/>
              </w:rPr>
              <w:t>表</w:t>
            </w:r>
            <w:r>
              <w:rPr>
                <w:rFonts w:hint="eastAsia" w:ascii="Times New Roman" w:hAnsi="Times New Roman" w:eastAsia="宋体" w:cs="Times New Roman"/>
                <w:b/>
                <w:bCs/>
                <w:szCs w:val="21"/>
              </w:rPr>
              <w:t>4 项目工程组成一览表</w:t>
            </w:r>
          </w:p>
          <w:tbl>
            <w:tblPr>
              <w:tblStyle w:val="1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97"/>
              <w:gridCol w:w="891"/>
              <w:gridCol w:w="64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4" w:type="pc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类别</w:t>
                  </w:r>
                </w:p>
              </w:tc>
              <w:tc>
                <w:tcPr>
                  <w:tcW w:w="558" w:type="pc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项目名称</w:t>
                  </w:r>
                </w:p>
              </w:tc>
              <w:tc>
                <w:tcPr>
                  <w:tcW w:w="4068" w:type="pc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具体内容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4" w:type="pct"/>
                  <w:vMerge w:val="restar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主体工程</w:t>
                  </w:r>
                </w:p>
              </w:tc>
              <w:tc>
                <w:tcPr>
                  <w:tcW w:w="558" w:type="pct"/>
                  <w:vMerge w:val="restar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工程内容</w:t>
                  </w:r>
                  <w:r>
                    <w:rPr>
                      <w:rFonts w:hint="eastAsia" w:ascii="Times New Roman" w:hAnsi="Times New Roman" w:eastAsia="宋体" w:cs="Times New Roman"/>
                      <w:szCs w:val="21"/>
                    </w:rPr>
                    <w:t>及</w:t>
                  </w:r>
                  <w:r>
                    <w:rPr>
                      <w:rFonts w:ascii="Times New Roman" w:hAnsi="Times New Roman" w:eastAsia="宋体" w:cs="Times New Roman"/>
                      <w:szCs w:val="21"/>
                    </w:rPr>
                    <w:t>生产规模</w:t>
                  </w:r>
                </w:p>
              </w:tc>
              <w:tc>
                <w:tcPr>
                  <w:tcW w:w="4068" w:type="pct"/>
                  <w:vAlign w:val="center"/>
                </w:tcPr>
                <w:p>
                  <w:pPr>
                    <w:jc w:val="center"/>
                    <w:rPr>
                      <w:rFonts w:ascii="Times New Roman" w:hAnsi="Times New Roman" w:eastAsia="宋体" w:cs="Times New Roman"/>
                      <w:szCs w:val="21"/>
                    </w:rPr>
                  </w:pPr>
                  <w:r>
                    <w:rPr>
                      <w:rFonts w:hint="eastAsia" w:ascii="Times New Roman" w:hAnsi="宋体" w:eastAsia="宋体" w:cs="Times New Roman"/>
                      <w:bCs/>
                      <w:szCs w:val="21"/>
                    </w:rPr>
                    <w:t>租用抚宁区留守营镇毛家营村村民委员会渤海大修厂，面积7150.74平方米。新建一座490㎡厂房，生产设备：购置粉碎机、传送带、甩干机、</w:t>
                  </w:r>
                  <w:r>
                    <w:rPr>
                      <w:rFonts w:hint="eastAsia" w:ascii="Times New Roman" w:hAnsi="宋体" w:eastAsia="宋体" w:cs="Times New Roman"/>
                      <w:bCs/>
                      <w:szCs w:val="21"/>
                      <w:lang w:eastAsia="zh-CN"/>
                    </w:rPr>
                    <w:t>扒</w:t>
                  </w:r>
                  <w:r>
                    <w:rPr>
                      <w:rFonts w:hint="eastAsia" w:ascii="Times New Roman" w:hAnsi="宋体" w:eastAsia="宋体" w:cs="Times New Roman"/>
                      <w:bCs/>
                      <w:szCs w:val="21"/>
                    </w:rPr>
                    <w:t>瓶机、筛分槽、打包机、水处理等设备若干台。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center"/>
              </w:trPr>
              <w:tc>
                <w:tcPr>
                  <w:tcW w:w="374" w:type="pct"/>
                  <w:vMerge w:val="continue"/>
                  <w:vAlign w:val="center"/>
                </w:tcPr>
                <w:p>
                  <w:pPr>
                    <w:jc w:val="center"/>
                    <w:rPr>
                      <w:rFonts w:ascii="Times New Roman" w:hAnsi="Times New Roman" w:eastAsia="宋体" w:cs="Times New Roman"/>
                      <w:szCs w:val="21"/>
                    </w:rPr>
                  </w:pPr>
                </w:p>
              </w:tc>
              <w:tc>
                <w:tcPr>
                  <w:tcW w:w="558" w:type="pct"/>
                  <w:vMerge w:val="continue"/>
                  <w:vAlign w:val="center"/>
                </w:tcPr>
                <w:p>
                  <w:pPr>
                    <w:jc w:val="center"/>
                    <w:rPr>
                      <w:rFonts w:ascii="Times New Roman" w:hAnsi="Times New Roman" w:eastAsia="宋体" w:cs="Times New Roman"/>
                      <w:szCs w:val="21"/>
                    </w:rPr>
                  </w:pPr>
                </w:p>
              </w:tc>
              <w:tc>
                <w:tcPr>
                  <w:tcW w:w="4068" w:type="pct"/>
                  <w:vAlign w:val="center"/>
                </w:tcPr>
                <w:p>
                  <w:pPr>
                    <w:jc w:val="left"/>
                    <w:rPr>
                      <w:rFonts w:ascii="Times New Roman" w:hAnsi="Times New Roman" w:eastAsia="宋体" w:cs="Times New Roman"/>
                      <w:szCs w:val="21"/>
                    </w:rPr>
                  </w:pPr>
                  <w:r>
                    <w:rPr>
                      <w:rFonts w:hint="eastAsia" w:ascii="Times New Roman" w:hAnsi="宋体" w:eastAsia="宋体" w:cs="Times New Roman"/>
                      <w:bCs/>
                      <w:szCs w:val="21"/>
                    </w:rPr>
                    <w:t>新建三条回收破碎加工生活及食品类塑料生产线，年加工废塑料30000吨，原料区、成品区以及生产设备均布置在车间内。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4" w:type="pct"/>
                  <w:vMerge w:val="restar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公用工程</w:t>
                  </w:r>
                </w:p>
              </w:tc>
              <w:tc>
                <w:tcPr>
                  <w:tcW w:w="558" w:type="pc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供水</w:t>
                  </w:r>
                </w:p>
              </w:tc>
              <w:tc>
                <w:tcPr>
                  <w:tcW w:w="4068" w:type="pc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由</w:t>
                  </w:r>
                  <w:r>
                    <w:rPr>
                      <w:rFonts w:hint="eastAsia" w:ascii="Times New Roman" w:hAnsi="宋体" w:eastAsia="宋体" w:cs="Times New Roman"/>
                      <w:bCs/>
                      <w:szCs w:val="21"/>
                    </w:rPr>
                    <w:t>毛家营村自来水</w:t>
                  </w:r>
                  <w:r>
                    <w:rPr>
                      <w:rFonts w:ascii="Times New Roman" w:hAnsi="Times New Roman" w:eastAsia="宋体" w:cs="Times New Roman"/>
                      <w:szCs w:val="21"/>
                    </w:rPr>
                    <w:t>供水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4" w:type="pct"/>
                  <w:vMerge w:val="continue"/>
                  <w:vAlign w:val="center"/>
                </w:tcPr>
                <w:p>
                  <w:pPr>
                    <w:jc w:val="center"/>
                    <w:rPr>
                      <w:rFonts w:ascii="Times New Roman" w:hAnsi="Times New Roman" w:eastAsia="宋体" w:cs="Times New Roman"/>
                      <w:szCs w:val="21"/>
                    </w:rPr>
                  </w:pPr>
                </w:p>
              </w:tc>
              <w:tc>
                <w:tcPr>
                  <w:tcW w:w="558"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排水</w:t>
                  </w:r>
                </w:p>
              </w:tc>
              <w:tc>
                <w:tcPr>
                  <w:tcW w:w="4068"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生产用水经污水处理系统（10m</w:t>
                  </w:r>
                  <w:r>
                    <w:rPr>
                      <w:rFonts w:hint="eastAsia" w:ascii="Times New Roman" w:hAnsi="Times New Roman" w:eastAsia="宋体" w:cs="Times New Roman"/>
                      <w:szCs w:val="21"/>
                      <w:vertAlign w:val="superscript"/>
                    </w:rPr>
                    <w:t>3</w:t>
                  </w:r>
                  <w:r>
                    <w:rPr>
                      <w:rFonts w:hint="eastAsia" w:ascii="Times New Roman" w:hAnsi="Times New Roman" w:eastAsia="宋体" w:cs="Times New Roman"/>
                      <w:szCs w:val="21"/>
                    </w:rPr>
                    <w:t>/d）处理后全部回用，不外排，不设职工宿舍、洗浴以及食堂，职工盥洗废水用于厂区泼洒抑尘，厕所为旱厕，定期清掏用作农肥</w:t>
                  </w:r>
                  <w:r>
                    <w:rPr>
                      <w:rFonts w:hint="eastAsia" w:ascii="Times New Roman" w:hAnsi="Times New Roman" w:eastAsia="宋体" w:cs="Times New Roman"/>
                      <w:szCs w:val="21"/>
                      <w:lang w:eastAsia="zh-CN"/>
                    </w:rPr>
                    <w:t>，本项目无生产及生活废水外排。</w:t>
                  </w:r>
                  <w:r>
                    <w:rPr>
                      <w:rFonts w:ascii="Times New Roman" w:hAnsi="Times New Roman" w:eastAsia="宋体" w:cs="Times New Roman"/>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4" w:type="pct"/>
                  <w:vMerge w:val="continue"/>
                  <w:vAlign w:val="center"/>
                </w:tcPr>
                <w:p>
                  <w:pPr>
                    <w:jc w:val="center"/>
                    <w:rPr>
                      <w:rFonts w:ascii="Times New Roman" w:hAnsi="Times New Roman" w:eastAsia="宋体" w:cs="Times New Roman"/>
                      <w:szCs w:val="21"/>
                    </w:rPr>
                  </w:pPr>
                </w:p>
              </w:tc>
              <w:tc>
                <w:tcPr>
                  <w:tcW w:w="558"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供暖</w:t>
                  </w:r>
                </w:p>
              </w:tc>
              <w:tc>
                <w:tcPr>
                  <w:tcW w:w="4068"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生产车间不供暖，办公室空调取暖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4"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依托工程</w:t>
                  </w:r>
                </w:p>
              </w:tc>
              <w:tc>
                <w:tcPr>
                  <w:tcW w:w="558"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用电</w:t>
                  </w:r>
                </w:p>
              </w:tc>
              <w:tc>
                <w:tcPr>
                  <w:tcW w:w="4068"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依托现有电路，</w:t>
                  </w:r>
                  <w:r>
                    <w:rPr>
                      <w:rFonts w:ascii="Times New Roman" w:hAnsi="Times New Roman" w:eastAsia="宋体" w:cs="Times New Roman"/>
                      <w:szCs w:val="21"/>
                    </w:rPr>
                    <w:t>市政电网提供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4" w:type="pct"/>
                  <w:vMerge w:val="restar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环保工程</w:t>
                  </w:r>
                </w:p>
              </w:tc>
              <w:tc>
                <w:tcPr>
                  <w:tcW w:w="558"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废气</w:t>
                  </w:r>
                </w:p>
              </w:tc>
              <w:tc>
                <w:tcPr>
                  <w:tcW w:w="4068" w:type="pc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污水处理系统产生少量臭气，定期喷洒生物除臭剂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4" w:type="pct"/>
                  <w:vMerge w:val="continue"/>
                  <w:vAlign w:val="center"/>
                </w:tcPr>
                <w:p>
                  <w:pPr>
                    <w:jc w:val="center"/>
                    <w:rPr>
                      <w:rFonts w:ascii="Times New Roman" w:hAnsi="Times New Roman" w:eastAsia="宋体" w:cs="Times New Roman"/>
                      <w:szCs w:val="21"/>
                    </w:rPr>
                  </w:pPr>
                </w:p>
              </w:tc>
              <w:tc>
                <w:tcPr>
                  <w:tcW w:w="558"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废水</w:t>
                  </w:r>
                </w:p>
              </w:tc>
              <w:tc>
                <w:tcPr>
                  <w:tcW w:w="4068" w:type="pct"/>
                  <w:vAlign w:val="center"/>
                </w:tcPr>
                <w:p>
                  <w:pPr>
                    <w:jc w:val="left"/>
                    <w:rPr>
                      <w:rFonts w:ascii="Times New Roman" w:hAnsi="Times New Roman" w:eastAsia="宋体" w:cs="Times New Roman"/>
                      <w:szCs w:val="21"/>
                    </w:rPr>
                  </w:pPr>
                  <w:r>
                    <w:rPr>
                      <w:rFonts w:hint="eastAsia" w:ascii="Times New Roman" w:hAnsi="Times New Roman" w:eastAsia="宋体" w:cs="Times New Roman"/>
                      <w:szCs w:val="21"/>
                    </w:rPr>
                    <w:t>破碎、甩干以及筛分废水经污水处理站处理后回用于生产，污水处理系统主要工艺为“隔油+絮凝沉淀”。</w:t>
                  </w:r>
                </w:p>
                <w:p>
                  <w:pPr>
                    <w:jc w:val="left"/>
                    <w:rPr>
                      <w:rFonts w:hint="eastAsia" w:ascii="Times New Roman" w:hAnsi="Times New Roman" w:eastAsia="宋体" w:cs="Times New Roman"/>
                      <w:szCs w:val="21"/>
                      <w:lang w:eastAsia="zh-CN"/>
                    </w:rPr>
                  </w:pPr>
                  <w:r>
                    <w:rPr>
                      <w:rFonts w:hint="eastAsia" w:ascii="Times New Roman" w:hAnsi="Times New Roman" w:eastAsia="宋体" w:cs="Times New Roman"/>
                      <w:szCs w:val="21"/>
                    </w:rPr>
                    <w:t>盥洗废水用于厂区泼洒抑尘，厕所为旱厕，定期清掏用作农肥</w:t>
                  </w:r>
                  <w:r>
                    <w:rPr>
                      <w:rFonts w:hint="eastAsia" w:ascii="Times New Roman" w:hAnsi="Times New Roman" w:eastAsia="宋体" w:cs="Times New Roman"/>
                      <w:szCs w:val="21"/>
                      <w:lang w:eastAsia="zh-CN"/>
                    </w:rPr>
                    <w:t>，本项目无生产及生活废水外排。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4" w:type="pct"/>
                  <w:vMerge w:val="continue"/>
                  <w:vAlign w:val="center"/>
                </w:tcPr>
                <w:p>
                  <w:pPr>
                    <w:jc w:val="center"/>
                    <w:rPr>
                      <w:rFonts w:ascii="Times New Roman" w:hAnsi="Times New Roman" w:eastAsia="宋体" w:cs="Times New Roman"/>
                      <w:szCs w:val="21"/>
                    </w:rPr>
                  </w:pPr>
                </w:p>
              </w:tc>
              <w:tc>
                <w:tcPr>
                  <w:tcW w:w="558" w:type="pct"/>
                  <w:tcBorders>
                    <w:top w:val="single" w:color="auto" w:sz="4" w:space="0"/>
                    <w:left w:val="single" w:color="auto" w:sz="4" w:space="0"/>
                    <w:right w:val="single" w:color="auto" w:sz="4"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噪声</w:t>
                  </w:r>
                </w:p>
              </w:tc>
              <w:tc>
                <w:tcPr>
                  <w:tcW w:w="4068" w:type="pct"/>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生产设备、风机选用低噪声设备，利用减震基础和厂房</w:t>
                  </w:r>
                  <w:r>
                    <w:rPr>
                      <w:rFonts w:ascii="Times New Roman" w:hAnsi="Times New Roman" w:eastAsia="宋体" w:cs="Times New Roman"/>
                      <w:szCs w:val="21"/>
                    </w:rPr>
                    <w:t>隔声，</w:t>
                  </w:r>
                  <w:r>
                    <w:rPr>
                      <w:rFonts w:hint="eastAsia" w:ascii="Times New Roman" w:hAnsi="Times New Roman" w:eastAsia="宋体" w:cs="Times New Roman"/>
                      <w:szCs w:val="21"/>
                    </w:rPr>
                    <w:t>定期检修；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4" w:type="pct"/>
                  <w:vMerge w:val="continue"/>
                  <w:vAlign w:val="center"/>
                </w:tcPr>
                <w:p>
                  <w:pPr>
                    <w:jc w:val="center"/>
                    <w:rPr>
                      <w:rFonts w:ascii="Times New Roman" w:hAnsi="Times New Roman" w:eastAsia="宋体" w:cs="Times New Roman"/>
                      <w:szCs w:val="21"/>
                    </w:rPr>
                  </w:pPr>
                </w:p>
              </w:tc>
              <w:tc>
                <w:tcPr>
                  <w:tcW w:w="558" w:type="pct"/>
                  <w:vMerge w:val="restart"/>
                  <w:tcBorders>
                    <w:top w:val="single" w:color="auto" w:sz="4" w:space="0"/>
                    <w:left w:val="single" w:color="auto" w:sz="4" w:space="0"/>
                    <w:right w:val="single" w:color="auto" w:sz="4"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固体废物</w:t>
                  </w:r>
                </w:p>
              </w:tc>
              <w:tc>
                <w:tcPr>
                  <w:tcW w:w="4068" w:type="pct"/>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生活垃圾经收集后由环卫部门处理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4" w:type="pct"/>
                  <w:vMerge w:val="continue"/>
                  <w:vAlign w:val="center"/>
                </w:tcPr>
                <w:p>
                  <w:pPr>
                    <w:jc w:val="center"/>
                    <w:rPr>
                      <w:rFonts w:ascii="Times New Roman" w:hAnsi="Times New Roman" w:eastAsia="宋体" w:cs="Times New Roman"/>
                      <w:szCs w:val="21"/>
                    </w:rPr>
                  </w:pPr>
                </w:p>
              </w:tc>
              <w:tc>
                <w:tcPr>
                  <w:tcW w:w="558" w:type="pct"/>
                  <w:vMerge w:val="continue"/>
                  <w:tcBorders>
                    <w:top w:val="single" w:color="auto" w:sz="4" w:space="0"/>
                    <w:left w:val="single" w:color="auto" w:sz="4" w:space="0"/>
                    <w:right w:val="single" w:color="auto" w:sz="4" w:space="0"/>
                  </w:tcBorders>
                  <w:vAlign w:val="center"/>
                </w:tcPr>
                <w:p>
                  <w:pPr>
                    <w:jc w:val="center"/>
                    <w:rPr>
                      <w:rFonts w:ascii="Times New Roman" w:hAnsi="Times New Roman" w:eastAsia="宋体" w:cs="Times New Roman"/>
                      <w:szCs w:val="21"/>
                    </w:rPr>
                  </w:pPr>
                </w:p>
              </w:tc>
              <w:tc>
                <w:tcPr>
                  <w:tcW w:w="4068" w:type="pct"/>
                  <w:tcBorders>
                    <w:top w:val="single" w:color="auto" w:sz="4" w:space="0"/>
                    <w:left w:val="single" w:color="auto" w:sz="4" w:space="0"/>
                    <w:bottom w:val="single" w:color="auto" w:sz="4" w:space="0"/>
                    <w:right w:val="single" w:color="auto" w:sz="4" w:space="0"/>
                  </w:tcBorders>
                  <w:vAlign w:val="center"/>
                </w:tcPr>
                <w:p>
                  <w:pPr>
                    <w:jc w:val="left"/>
                    <w:rPr>
                      <w:rFonts w:ascii="Times New Roman" w:hAnsi="Times New Roman" w:eastAsia="宋体" w:cs="Times New Roman"/>
                      <w:szCs w:val="21"/>
                    </w:rPr>
                  </w:pPr>
                  <w:r>
                    <w:rPr>
                      <w:rFonts w:hint="eastAsia" w:ascii="宋体" w:hAnsi="Times New Roman" w:eastAsia="宋体" w:cs="宋体"/>
                      <w:kern w:val="0"/>
                      <w:szCs w:val="21"/>
                    </w:rPr>
                    <w:t>污水处理系统产生的</w:t>
                  </w:r>
                  <w:r>
                    <w:rPr>
                      <w:rFonts w:hint="eastAsia" w:ascii="Times New Roman" w:hAnsi="Times New Roman" w:eastAsia="宋体" w:cs="Times New Roman"/>
                      <w:kern w:val="24"/>
                      <w:szCs w:val="21"/>
                    </w:rPr>
                    <w:t>絮凝沉淀物</w:t>
                  </w:r>
                  <w:r>
                    <w:rPr>
                      <w:rFonts w:hint="eastAsia" w:ascii="宋体" w:hAnsi="Times New Roman" w:eastAsia="宋体" w:cs="宋体"/>
                      <w:kern w:val="0"/>
                      <w:szCs w:val="21"/>
                    </w:rPr>
                    <w:t>定期通过吸污车运至有处理能力的单位进行处理，废塑料瓶打包袋循环使用，散装原料风选工序选出来的其他材质的瓶子，外售给废品站，隔油池产生的植物油渣定期交有处理能力的单位进行处置。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4" w:type="pct"/>
                  <w:vMerge w:val="continue"/>
                  <w:vAlign w:val="center"/>
                </w:tcPr>
                <w:p>
                  <w:pPr>
                    <w:widowControl/>
                    <w:jc w:val="center"/>
                    <w:rPr>
                      <w:rFonts w:ascii="Times New Roman" w:hAnsi="Times New Roman" w:eastAsia="宋体" w:cs="Times New Roman"/>
                      <w:szCs w:val="21"/>
                    </w:rPr>
                  </w:pPr>
                </w:p>
              </w:tc>
              <w:tc>
                <w:tcPr>
                  <w:tcW w:w="558" w:type="pct"/>
                  <w:vMerge w:val="continue"/>
                  <w:tcBorders>
                    <w:left w:val="single" w:color="auto" w:sz="4" w:space="0"/>
                    <w:right w:val="single" w:color="auto" w:sz="4" w:space="0"/>
                  </w:tcBorders>
                  <w:vAlign w:val="center"/>
                </w:tcPr>
                <w:p>
                  <w:pPr>
                    <w:jc w:val="center"/>
                    <w:rPr>
                      <w:rFonts w:ascii="Times New Roman" w:hAnsi="Times New Roman" w:eastAsia="宋体" w:cs="Times New Roman"/>
                      <w:szCs w:val="21"/>
                    </w:rPr>
                  </w:pPr>
                </w:p>
              </w:tc>
              <w:tc>
                <w:tcPr>
                  <w:tcW w:w="4068" w:type="pct"/>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废机油、废机油桶暂存于危废间内，定期由有资质单位外运处置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4" w:type="pct"/>
                  <w:vMerge w:val="continue"/>
                  <w:vAlign w:val="center"/>
                </w:tcPr>
                <w:p>
                  <w:pPr>
                    <w:widowControl/>
                    <w:jc w:val="center"/>
                    <w:rPr>
                      <w:rFonts w:ascii="Times New Roman" w:hAnsi="Times New Roman" w:eastAsia="宋体" w:cs="Times New Roman"/>
                      <w:szCs w:val="21"/>
                    </w:rPr>
                  </w:pPr>
                </w:p>
              </w:tc>
              <w:tc>
                <w:tcPr>
                  <w:tcW w:w="558" w:type="pct"/>
                  <w:tcBorders>
                    <w:left w:val="single" w:color="auto" w:sz="4" w:space="0"/>
                    <w:right w:val="single" w:color="auto" w:sz="4" w:space="0"/>
                  </w:tcBorders>
                  <w:vAlign w:val="center"/>
                </w:tcPr>
                <w:p>
                  <w:pPr>
                    <w:jc w:val="center"/>
                    <w:rPr>
                      <w:rFonts w:ascii="Times New Roman" w:hAnsi="Times New Roman" w:eastAsia="宋体" w:cs="Times New Roman"/>
                      <w:szCs w:val="21"/>
                    </w:rPr>
                  </w:pPr>
                  <w:r>
                    <w:rPr>
                      <w:rFonts w:ascii="Times New Roman" w:hAnsi="Times New Roman" w:eastAsia="宋体" w:cs="Times New Roman"/>
                      <w:szCs w:val="21"/>
                    </w:rPr>
                    <w:t>防渗工程</w:t>
                  </w:r>
                </w:p>
              </w:tc>
              <w:tc>
                <w:tcPr>
                  <w:tcW w:w="4068" w:type="pct"/>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污水处理系统以及危废间作为重点防渗区，其他区域为一般防渗区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32" w:type="pct"/>
                  <w:gridSpan w:val="2"/>
                  <w:vAlign w:val="center"/>
                </w:tcPr>
                <w:p>
                  <w:pPr>
                    <w:jc w:val="center"/>
                    <w:rPr>
                      <w:rFonts w:ascii="Times New Roman" w:hAnsi="Times New Roman" w:eastAsia="宋体" w:cs="Times New Roman"/>
                      <w:szCs w:val="21"/>
                    </w:rPr>
                  </w:pPr>
                  <w:r>
                    <w:rPr>
                      <w:rFonts w:ascii="Times New Roman" w:hAnsi="Times New Roman" w:eastAsia="宋体" w:cs="Times New Roman"/>
                      <w:szCs w:val="21"/>
                    </w:rPr>
                    <w:t>总投资</w:t>
                  </w:r>
                </w:p>
              </w:tc>
              <w:tc>
                <w:tcPr>
                  <w:tcW w:w="4068"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共400万元</w:t>
                  </w:r>
                </w:p>
              </w:tc>
            </w:tr>
          </w:tbl>
          <w:p>
            <w:pPr>
              <w:adjustRightInd w:val="0"/>
              <w:snapToGrid w:val="0"/>
              <w:spacing w:before="120" w:beforeLines="50"/>
              <w:ind w:firstLine="422"/>
              <w:jc w:val="center"/>
              <w:rPr>
                <w:rFonts w:ascii="Times New Roman" w:hAnsi="Times New Roman" w:eastAsia="宋体" w:cs="Times New Roman"/>
                <w:b/>
                <w:bCs/>
                <w:szCs w:val="21"/>
              </w:rPr>
            </w:pPr>
            <w:r>
              <w:rPr>
                <w:rFonts w:ascii="Times New Roman" w:hAnsi="Times New Roman" w:eastAsia="宋体" w:cs="Times New Roman"/>
                <w:b/>
                <w:bCs/>
                <w:szCs w:val="21"/>
              </w:rPr>
              <w:t>表</w:t>
            </w:r>
            <w:r>
              <w:rPr>
                <w:rFonts w:hint="eastAsia" w:ascii="Times New Roman" w:hAnsi="Times New Roman" w:eastAsia="宋体" w:cs="Times New Roman"/>
                <w:b/>
                <w:bCs/>
                <w:szCs w:val="21"/>
              </w:rPr>
              <w:t>5建构筑物一览表</w:t>
            </w: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7"/>
              <w:gridCol w:w="2475"/>
              <w:gridCol w:w="1996"/>
              <w:gridCol w:w="19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50" w:type="pct"/>
                  <w:vAlign w:val="center"/>
                </w:tcPr>
                <w:p>
                  <w:pPr>
                    <w:adjustRightInd w:val="0"/>
                    <w:snapToGrid w:val="0"/>
                    <w:jc w:val="center"/>
                    <w:rPr>
                      <w:rFonts w:ascii="Times New Roman" w:hAnsi="Times New Roman" w:eastAsia="宋体" w:cs="Times New Roman"/>
                      <w:bCs/>
                      <w:szCs w:val="21"/>
                    </w:rPr>
                  </w:pPr>
                  <w:r>
                    <w:rPr>
                      <w:rFonts w:hint="eastAsia" w:ascii="Times New Roman" w:hAnsi="Times New Roman" w:eastAsia="宋体" w:cs="Times New Roman"/>
                      <w:bCs/>
                      <w:szCs w:val="21"/>
                    </w:rPr>
                    <w:t>序号</w:t>
                  </w:r>
                </w:p>
              </w:tc>
              <w:tc>
                <w:tcPr>
                  <w:tcW w:w="1550" w:type="pct"/>
                  <w:vAlign w:val="center"/>
                </w:tcPr>
                <w:p>
                  <w:pPr>
                    <w:adjustRightInd w:val="0"/>
                    <w:snapToGrid w:val="0"/>
                    <w:jc w:val="center"/>
                    <w:rPr>
                      <w:rFonts w:ascii="Times New Roman" w:hAnsi="Times New Roman" w:eastAsia="宋体" w:cs="Times New Roman"/>
                      <w:bCs/>
                      <w:szCs w:val="21"/>
                    </w:rPr>
                  </w:pPr>
                  <w:r>
                    <w:rPr>
                      <w:rFonts w:hint="eastAsia" w:ascii="Times New Roman" w:hAnsi="Times New Roman" w:eastAsia="宋体" w:cs="Times New Roman"/>
                      <w:bCs/>
                      <w:szCs w:val="21"/>
                    </w:rPr>
                    <w:t>名称</w:t>
                  </w:r>
                </w:p>
              </w:tc>
              <w:tc>
                <w:tcPr>
                  <w:tcW w:w="1250" w:type="pct"/>
                  <w:vAlign w:val="center"/>
                </w:tcPr>
                <w:p>
                  <w:pPr>
                    <w:adjustRightInd w:val="0"/>
                    <w:snapToGrid w:val="0"/>
                    <w:jc w:val="center"/>
                    <w:rPr>
                      <w:rFonts w:ascii="Times New Roman" w:hAnsi="Times New Roman" w:eastAsia="宋体" w:cs="Times New Roman"/>
                      <w:bCs/>
                      <w:szCs w:val="21"/>
                    </w:rPr>
                  </w:pPr>
                  <w:r>
                    <w:rPr>
                      <w:rFonts w:hint="eastAsia" w:ascii="Times New Roman" w:hAnsi="Times New Roman" w:eastAsia="宋体" w:cs="Times New Roman"/>
                      <w:bCs/>
                      <w:szCs w:val="21"/>
                    </w:rPr>
                    <w:t>占地面积m</w:t>
                  </w:r>
                  <w:r>
                    <w:rPr>
                      <w:rFonts w:hint="eastAsia" w:ascii="Times New Roman" w:hAnsi="Times New Roman" w:eastAsia="宋体" w:cs="Times New Roman"/>
                      <w:bCs/>
                      <w:szCs w:val="21"/>
                      <w:vertAlign w:val="superscript"/>
                    </w:rPr>
                    <w:t>2</w:t>
                  </w:r>
                </w:p>
              </w:tc>
              <w:tc>
                <w:tcPr>
                  <w:tcW w:w="1250" w:type="pct"/>
                </w:tcPr>
                <w:p>
                  <w:pPr>
                    <w:adjustRightInd w:val="0"/>
                    <w:snapToGrid w:val="0"/>
                    <w:jc w:val="center"/>
                    <w:rPr>
                      <w:rFonts w:ascii="Times New Roman" w:hAnsi="Times New Roman" w:eastAsia="宋体" w:cs="Times New Roman"/>
                      <w:bCs/>
                      <w:szCs w:val="21"/>
                    </w:rPr>
                  </w:pPr>
                  <w:r>
                    <w:rPr>
                      <w:rFonts w:hint="eastAsia" w:ascii="Times New Roman" w:hAnsi="Times New Roman" w:eastAsia="宋体" w:cs="Times New Roman"/>
                      <w:bCs/>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50" w:type="pct"/>
                  <w:vAlign w:val="center"/>
                </w:tcPr>
                <w:p>
                  <w:pPr>
                    <w:adjustRightInd w:val="0"/>
                    <w:snapToGrid w:val="0"/>
                    <w:jc w:val="center"/>
                    <w:rPr>
                      <w:rFonts w:ascii="Times New Roman" w:hAnsi="Times New Roman" w:eastAsia="宋体" w:cs="Times New Roman"/>
                      <w:bCs/>
                      <w:szCs w:val="21"/>
                    </w:rPr>
                  </w:pPr>
                  <w:r>
                    <w:rPr>
                      <w:rFonts w:hint="eastAsia" w:ascii="Times New Roman" w:hAnsi="Times New Roman" w:eastAsia="宋体" w:cs="Times New Roman"/>
                      <w:bCs/>
                      <w:szCs w:val="21"/>
                    </w:rPr>
                    <w:t>1</w:t>
                  </w:r>
                </w:p>
              </w:tc>
              <w:tc>
                <w:tcPr>
                  <w:tcW w:w="1550" w:type="pct"/>
                  <w:vAlign w:val="center"/>
                </w:tcPr>
                <w:p>
                  <w:pPr>
                    <w:adjustRightInd w:val="0"/>
                    <w:snapToGrid w:val="0"/>
                    <w:jc w:val="center"/>
                    <w:rPr>
                      <w:rFonts w:ascii="Times New Roman" w:hAnsi="Times New Roman" w:eastAsia="宋体" w:cs="Times New Roman"/>
                      <w:bCs/>
                      <w:szCs w:val="21"/>
                    </w:rPr>
                  </w:pPr>
                  <w:r>
                    <w:rPr>
                      <w:rFonts w:hint="eastAsia" w:ascii="Times New Roman" w:hAnsi="Times New Roman" w:eastAsia="宋体" w:cs="Times New Roman"/>
                      <w:bCs/>
                      <w:szCs w:val="21"/>
                    </w:rPr>
                    <w:t>生产车间</w:t>
                  </w:r>
                </w:p>
              </w:tc>
              <w:tc>
                <w:tcPr>
                  <w:tcW w:w="1250" w:type="pct"/>
                  <w:vAlign w:val="center"/>
                </w:tcPr>
                <w:p>
                  <w:pPr>
                    <w:adjustRightInd w:val="0"/>
                    <w:snapToGrid w:val="0"/>
                    <w:jc w:val="center"/>
                    <w:rPr>
                      <w:rFonts w:ascii="Times New Roman" w:hAnsi="Times New Roman" w:eastAsia="宋体" w:cs="Times New Roman"/>
                      <w:bCs/>
                      <w:szCs w:val="21"/>
                    </w:rPr>
                  </w:pPr>
                  <w:r>
                    <w:rPr>
                      <w:rFonts w:hint="eastAsia" w:ascii="Times New Roman" w:hAnsi="Times New Roman" w:eastAsia="宋体" w:cs="Times New Roman"/>
                      <w:bCs/>
                      <w:szCs w:val="21"/>
                    </w:rPr>
                    <w:t>490</w:t>
                  </w:r>
                </w:p>
              </w:tc>
              <w:tc>
                <w:tcPr>
                  <w:tcW w:w="1250" w:type="pct"/>
                </w:tcPr>
                <w:p>
                  <w:pPr>
                    <w:adjustRightInd w:val="0"/>
                    <w:snapToGrid w:val="0"/>
                    <w:jc w:val="center"/>
                    <w:rPr>
                      <w:rFonts w:ascii="Times New Roman" w:hAnsi="Times New Roman" w:eastAsia="宋体" w:cs="Times New Roman"/>
                      <w:bCs/>
                      <w:szCs w:val="21"/>
                    </w:rPr>
                  </w:pPr>
                  <w:r>
                    <w:rPr>
                      <w:rFonts w:ascii="Times New Roman" w:hAnsi="Times New Roman" w:eastAsia="宋体" w:cs="Times New Roman"/>
                      <w:bCs/>
                      <w:szCs w:val="21"/>
                    </w:rPr>
                    <w:t>砖混+彩钢结构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50" w:type="pct"/>
                  <w:vAlign w:val="center"/>
                </w:tcPr>
                <w:p>
                  <w:pPr>
                    <w:adjustRightInd w:val="0"/>
                    <w:snapToGrid w:val="0"/>
                    <w:jc w:val="center"/>
                    <w:rPr>
                      <w:rFonts w:ascii="Times New Roman" w:hAnsi="Times New Roman" w:eastAsia="宋体" w:cs="Times New Roman"/>
                      <w:bCs/>
                      <w:szCs w:val="21"/>
                    </w:rPr>
                  </w:pPr>
                  <w:r>
                    <w:rPr>
                      <w:rFonts w:hint="eastAsia" w:ascii="Times New Roman" w:hAnsi="Times New Roman" w:eastAsia="宋体" w:cs="Times New Roman"/>
                      <w:bCs/>
                      <w:szCs w:val="21"/>
                    </w:rPr>
                    <w:t>2</w:t>
                  </w:r>
                </w:p>
              </w:tc>
              <w:tc>
                <w:tcPr>
                  <w:tcW w:w="1550" w:type="pct"/>
                  <w:vAlign w:val="center"/>
                </w:tcPr>
                <w:p>
                  <w:pPr>
                    <w:adjustRightInd w:val="0"/>
                    <w:snapToGrid w:val="0"/>
                    <w:jc w:val="center"/>
                    <w:rPr>
                      <w:rFonts w:ascii="Times New Roman" w:hAnsi="Times New Roman" w:eastAsia="宋体" w:cs="Times New Roman"/>
                      <w:bCs/>
                      <w:szCs w:val="21"/>
                    </w:rPr>
                  </w:pPr>
                  <w:r>
                    <w:rPr>
                      <w:rFonts w:hint="eastAsia" w:ascii="Times New Roman" w:hAnsi="宋体" w:eastAsia="宋体" w:cs="Times New Roman"/>
                      <w:bCs/>
                      <w:szCs w:val="21"/>
                    </w:rPr>
                    <w:t>仓库</w:t>
                  </w:r>
                </w:p>
              </w:tc>
              <w:tc>
                <w:tcPr>
                  <w:tcW w:w="1250" w:type="pct"/>
                  <w:vAlign w:val="center"/>
                </w:tcPr>
                <w:p>
                  <w:pPr>
                    <w:adjustRightInd w:val="0"/>
                    <w:snapToGrid w:val="0"/>
                    <w:jc w:val="center"/>
                    <w:rPr>
                      <w:rFonts w:ascii="Times New Roman" w:hAnsi="Times New Roman" w:eastAsia="宋体" w:cs="Times New Roman"/>
                      <w:bCs/>
                      <w:szCs w:val="21"/>
                    </w:rPr>
                  </w:pPr>
                  <w:r>
                    <w:rPr>
                      <w:rFonts w:hint="eastAsia" w:ascii="Times New Roman" w:hAnsi="宋体" w:eastAsia="宋体" w:cs="Times New Roman"/>
                      <w:bCs/>
                      <w:szCs w:val="21"/>
                    </w:rPr>
                    <w:t>300</w:t>
                  </w:r>
                </w:p>
              </w:tc>
              <w:tc>
                <w:tcPr>
                  <w:tcW w:w="1250" w:type="pct"/>
                </w:tcPr>
                <w:p>
                  <w:pPr>
                    <w:adjustRightInd w:val="0"/>
                    <w:snapToGrid w:val="0"/>
                    <w:jc w:val="center"/>
                    <w:rPr>
                      <w:rFonts w:ascii="Times New Roman" w:hAnsi="宋体" w:eastAsia="宋体" w:cs="Times New Roman"/>
                      <w:bCs/>
                      <w:szCs w:val="21"/>
                    </w:rPr>
                  </w:pPr>
                  <w:r>
                    <w:rPr>
                      <w:rFonts w:ascii="Times New Roman" w:hAnsi="Times New Roman" w:eastAsia="宋体" w:cs="Times New Roman"/>
                      <w:bCs/>
                      <w:szCs w:val="21"/>
                    </w:rPr>
                    <w:t>彩钢结构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50" w:type="pct"/>
                  <w:vAlign w:val="center"/>
                </w:tcPr>
                <w:p>
                  <w:pPr>
                    <w:adjustRightInd w:val="0"/>
                    <w:snapToGrid w:val="0"/>
                    <w:jc w:val="center"/>
                    <w:rPr>
                      <w:rFonts w:ascii="Times New Roman" w:hAnsi="Times New Roman" w:eastAsia="宋体" w:cs="Times New Roman"/>
                      <w:bCs/>
                      <w:szCs w:val="21"/>
                    </w:rPr>
                  </w:pPr>
                  <w:r>
                    <w:rPr>
                      <w:rFonts w:hint="eastAsia" w:ascii="Times New Roman" w:hAnsi="Times New Roman" w:eastAsia="宋体" w:cs="Times New Roman"/>
                      <w:bCs/>
                      <w:szCs w:val="21"/>
                    </w:rPr>
                    <w:t>3</w:t>
                  </w:r>
                </w:p>
              </w:tc>
              <w:tc>
                <w:tcPr>
                  <w:tcW w:w="1550" w:type="pct"/>
                  <w:vAlign w:val="center"/>
                </w:tcPr>
                <w:p>
                  <w:pPr>
                    <w:adjustRightInd w:val="0"/>
                    <w:snapToGrid w:val="0"/>
                    <w:jc w:val="center"/>
                    <w:rPr>
                      <w:rFonts w:ascii="Times New Roman" w:hAnsi="Times New Roman" w:eastAsia="宋体" w:cs="Times New Roman"/>
                      <w:bCs/>
                      <w:szCs w:val="21"/>
                    </w:rPr>
                  </w:pPr>
                  <w:r>
                    <w:rPr>
                      <w:rFonts w:hint="eastAsia" w:ascii="Times New Roman" w:hAnsi="Times New Roman" w:eastAsia="宋体" w:cs="Times New Roman"/>
                      <w:bCs/>
                      <w:szCs w:val="21"/>
                    </w:rPr>
                    <w:t>污水处理系统</w:t>
                  </w:r>
                </w:p>
              </w:tc>
              <w:tc>
                <w:tcPr>
                  <w:tcW w:w="1250" w:type="pct"/>
                  <w:vAlign w:val="center"/>
                </w:tcPr>
                <w:p>
                  <w:pPr>
                    <w:adjustRightInd w:val="0"/>
                    <w:snapToGrid w:val="0"/>
                    <w:jc w:val="center"/>
                    <w:rPr>
                      <w:rFonts w:ascii="Times New Roman" w:hAnsi="Times New Roman" w:eastAsia="宋体" w:cs="Times New Roman"/>
                      <w:bCs/>
                      <w:szCs w:val="21"/>
                    </w:rPr>
                  </w:pPr>
                  <w:r>
                    <w:rPr>
                      <w:rFonts w:hint="eastAsia" w:ascii="Times New Roman" w:hAnsi="Times New Roman" w:eastAsia="宋体" w:cs="Times New Roman"/>
                      <w:bCs/>
                      <w:szCs w:val="21"/>
                    </w:rPr>
                    <w:t>15</w:t>
                  </w:r>
                </w:p>
              </w:tc>
              <w:tc>
                <w:tcPr>
                  <w:tcW w:w="1250" w:type="pct"/>
                </w:tcPr>
                <w:p>
                  <w:pPr>
                    <w:adjustRightInd w:val="0"/>
                    <w:snapToGrid w:val="0"/>
                    <w:jc w:val="center"/>
                    <w:rPr>
                      <w:rFonts w:ascii="Times New Roman" w:hAnsi="Times New Roman" w:eastAsia="宋体" w:cs="Times New Roman"/>
                      <w:bCs/>
                      <w:szCs w:val="21"/>
                    </w:rPr>
                  </w:pPr>
                  <w:r>
                    <w:rPr>
                      <w:rFonts w:hint="eastAsia" w:ascii="Times New Roman" w:hAnsi="Times New Roman" w:eastAsia="宋体" w:cs="Times New Roman"/>
                      <w:bCs/>
                      <w:szCs w:val="21"/>
                    </w:rPr>
                    <w:t>处理能力为10m</w:t>
                  </w:r>
                  <w:r>
                    <w:rPr>
                      <w:rFonts w:hint="eastAsia" w:ascii="Times New Roman" w:hAnsi="Times New Roman" w:eastAsia="宋体" w:cs="Times New Roman"/>
                      <w:bCs/>
                      <w:szCs w:val="21"/>
                      <w:vertAlign w:val="superscript"/>
                    </w:rPr>
                    <w:t>3</w:t>
                  </w:r>
                  <w:r>
                    <w:rPr>
                      <w:rFonts w:hint="eastAsia" w:ascii="Times New Roman" w:hAnsi="Times New Roman" w:eastAsia="宋体" w:cs="Times New Roman"/>
                      <w:bCs/>
                      <w:szCs w:val="21"/>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50" w:type="pct"/>
                  <w:vAlign w:val="center"/>
                </w:tcPr>
                <w:p>
                  <w:pPr>
                    <w:adjustRightInd w:val="0"/>
                    <w:snapToGrid w:val="0"/>
                    <w:jc w:val="center"/>
                    <w:rPr>
                      <w:rFonts w:ascii="Times New Roman" w:hAnsi="Times New Roman" w:eastAsia="宋体" w:cs="Times New Roman"/>
                      <w:bCs/>
                      <w:szCs w:val="21"/>
                    </w:rPr>
                  </w:pPr>
                  <w:r>
                    <w:rPr>
                      <w:rFonts w:hint="eastAsia" w:ascii="Times New Roman" w:hAnsi="Times New Roman" w:eastAsia="宋体" w:cs="Times New Roman"/>
                      <w:bCs/>
                      <w:szCs w:val="21"/>
                    </w:rPr>
                    <w:t>4</w:t>
                  </w:r>
                </w:p>
              </w:tc>
              <w:tc>
                <w:tcPr>
                  <w:tcW w:w="1550" w:type="pct"/>
                  <w:vAlign w:val="center"/>
                </w:tcPr>
                <w:p>
                  <w:pPr>
                    <w:adjustRightInd w:val="0"/>
                    <w:snapToGrid w:val="0"/>
                    <w:jc w:val="center"/>
                    <w:rPr>
                      <w:rFonts w:ascii="Times New Roman" w:hAnsi="Times New Roman" w:eastAsia="宋体" w:cs="Times New Roman"/>
                      <w:bCs/>
                      <w:szCs w:val="21"/>
                    </w:rPr>
                  </w:pPr>
                  <w:r>
                    <w:rPr>
                      <w:rFonts w:hint="eastAsia" w:ascii="Times New Roman" w:hAnsi="Times New Roman" w:eastAsia="宋体" w:cs="Times New Roman"/>
                      <w:bCs/>
                      <w:szCs w:val="21"/>
                    </w:rPr>
                    <w:t>危废间</w:t>
                  </w:r>
                </w:p>
              </w:tc>
              <w:tc>
                <w:tcPr>
                  <w:tcW w:w="1250" w:type="pct"/>
                  <w:vAlign w:val="center"/>
                </w:tcPr>
                <w:p>
                  <w:pPr>
                    <w:adjustRightInd w:val="0"/>
                    <w:snapToGrid w:val="0"/>
                    <w:jc w:val="center"/>
                    <w:rPr>
                      <w:rFonts w:ascii="Times New Roman" w:hAnsi="Times New Roman" w:eastAsia="宋体" w:cs="Times New Roman"/>
                      <w:bCs/>
                      <w:szCs w:val="21"/>
                    </w:rPr>
                  </w:pPr>
                  <w:r>
                    <w:rPr>
                      <w:rFonts w:hint="eastAsia" w:ascii="Times New Roman" w:hAnsi="Times New Roman" w:eastAsia="宋体" w:cs="Times New Roman"/>
                      <w:bCs/>
                      <w:szCs w:val="21"/>
                    </w:rPr>
                    <w:t>6</w:t>
                  </w:r>
                </w:p>
              </w:tc>
              <w:tc>
                <w:tcPr>
                  <w:tcW w:w="1250" w:type="pct"/>
                </w:tcPr>
                <w:p>
                  <w:pPr>
                    <w:adjustRightInd w:val="0"/>
                    <w:snapToGrid w:val="0"/>
                    <w:jc w:val="center"/>
                    <w:rPr>
                      <w:rFonts w:ascii="Times New Roman" w:hAnsi="Times New Roman" w:eastAsia="宋体" w:cs="Times New Roman"/>
                      <w:bCs/>
                      <w:szCs w:val="21"/>
                    </w:rPr>
                  </w:pPr>
                  <w:r>
                    <w:rPr>
                      <w:rFonts w:hint="eastAsia" w:ascii="Times New Roman" w:hAnsi="Times New Roman" w:eastAsia="宋体" w:cs="Times New Roman"/>
                      <w:bCs/>
                      <w:szCs w:val="21"/>
                    </w:rPr>
                    <w:t>1座</w:t>
                  </w:r>
                </w:p>
              </w:tc>
            </w:tr>
          </w:tbl>
          <w:p>
            <w:pPr>
              <w:adjustRightInd w:val="0"/>
              <w:snapToGrid w:val="0"/>
              <w:spacing w:line="360" w:lineRule="auto"/>
              <w:ind w:firstLine="482"/>
              <w:jc w:val="left"/>
              <w:rPr>
                <w:rFonts w:ascii="Times New Roman" w:hAnsi="Times New Roman" w:eastAsia="宋体" w:cs="Times New Roman"/>
                <w:b/>
                <w:bCs/>
                <w:sz w:val="24"/>
                <w:szCs w:val="24"/>
              </w:rPr>
            </w:pPr>
            <w:r>
              <w:rPr>
                <w:rFonts w:ascii="Times New Roman" w:hAnsi="Times New Roman" w:eastAsia="宋体" w:cs="Times New Roman"/>
                <w:b/>
                <w:bCs/>
                <w:sz w:val="24"/>
                <w:szCs w:val="24"/>
              </w:rPr>
              <w:t>2</w:t>
            </w:r>
            <w:r>
              <w:rPr>
                <w:rFonts w:ascii="Times New Roman" w:hAnsi="宋体" w:eastAsia="宋体" w:cs="Times New Roman"/>
                <w:b/>
                <w:bCs/>
                <w:sz w:val="24"/>
                <w:szCs w:val="24"/>
              </w:rPr>
              <w:t>、项目主要产品及产能</w:t>
            </w:r>
          </w:p>
          <w:p>
            <w:pPr>
              <w:adjustRightInd w:val="0"/>
              <w:snapToGrid w:val="0"/>
              <w:spacing w:line="360" w:lineRule="auto"/>
              <w:ind w:firstLine="420" w:firstLineChars="200"/>
              <w:jc w:val="left"/>
              <w:rPr>
                <w:rFonts w:ascii="宋体" w:hAnsi="宋体" w:eastAsia="宋体" w:cs="宋体"/>
                <w:kern w:val="0"/>
                <w:szCs w:val="21"/>
              </w:rPr>
            </w:pPr>
            <w:r>
              <w:rPr>
                <w:rFonts w:ascii="Times New Roman" w:hAnsi="Times New Roman" w:eastAsia="宋体" w:cs="Times New Roman"/>
                <w:bCs/>
                <w:kern w:val="0"/>
                <w:szCs w:val="21"/>
              </w:rPr>
              <w:t>本项目建成后可年加工废塑料</w:t>
            </w:r>
            <w:r>
              <w:rPr>
                <w:rFonts w:hint="eastAsia" w:ascii="Times New Roman" w:hAnsi="Times New Roman" w:eastAsia="宋体" w:cs="Times New Roman"/>
                <w:bCs/>
                <w:kern w:val="0"/>
                <w:szCs w:val="21"/>
              </w:rPr>
              <w:t>30000吨/年</w:t>
            </w:r>
            <w:r>
              <w:rPr>
                <w:rFonts w:ascii="宋体" w:hAnsi="宋体" w:eastAsia="宋体" w:cs="宋体"/>
                <w:kern w:val="0"/>
                <w:szCs w:val="21"/>
              </w:rPr>
              <w:t>。产品方案详见下表。</w:t>
            </w:r>
          </w:p>
          <w:p>
            <w:pPr>
              <w:adjustRightInd w:val="0"/>
              <w:snapToGrid w:val="0"/>
              <w:spacing w:before="120" w:beforeLines="50"/>
              <w:ind w:firstLine="422"/>
              <w:jc w:val="center"/>
              <w:rPr>
                <w:rFonts w:ascii="Times New Roman" w:hAnsi="Times New Roman" w:eastAsia="宋体" w:cs="Times New Roman"/>
                <w:szCs w:val="24"/>
              </w:rPr>
            </w:pPr>
            <w:r>
              <w:rPr>
                <w:rFonts w:hint="eastAsia" w:ascii="Times New Roman" w:hAnsi="Times New Roman" w:eastAsia="宋体" w:cs="Times New Roman"/>
                <w:b/>
                <w:bCs/>
                <w:szCs w:val="21"/>
              </w:rPr>
              <w:t>表6 产品方案一览表</w:t>
            </w: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66"/>
              <w:gridCol w:w="1094"/>
              <w:gridCol w:w="2127"/>
              <w:gridCol w:w="1193"/>
              <w:gridCol w:w="21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18" w:type="pct"/>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产品名称</w:t>
                  </w:r>
                </w:p>
              </w:tc>
              <w:tc>
                <w:tcPr>
                  <w:tcW w:w="685" w:type="pct"/>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产量t/a</w:t>
                  </w:r>
                </w:p>
              </w:tc>
              <w:tc>
                <w:tcPr>
                  <w:tcW w:w="1332" w:type="pct"/>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规格（cm）</w:t>
                  </w:r>
                </w:p>
              </w:tc>
              <w:tc>
                <w:tcPr>
                  <w:tcW w:w="747" w:type="pct"/>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包装</w:t>
                  </w:r>
                </w:p>
              </w:tc>
              <w:tc>
                <w:tcPr>
                  <w:tcW w:w="1318" w:type="pct"/>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18" w:type="pct"/>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塑料片</w:t>
                  </w:r>
                </w:p>
              </w:tc>
              <w:tc>
                <w:tcPr>
                  <w:tcW w:w="685" w:type="pct"/>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26000</w:t>
                  </w:r>
                </w:p>
              </w:tc>
              <w:tc>
                <w:tcPr>
                  <w:tcW w:w="1332" w:type="pct"/>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1.6-1.8</w:t>
                  </w:r>
                </w:p>
              </w:tc>
              <w:tc>
                <w:tcPr>
                  <w:tcW w:w="747" w:type="pct"/>
                </w:tcPr>
                <w:p>
                  <w:pPr>
                    <w:adjustRightInd w:val="0"/>
                    <w:snapToGrid w:val="0"/>
                    <w:jc w:val="center"/>
                    <w:rPr>
                      <w:rFonts w:ascii="Times New Roman" w:hAnsi="Times New Roman" w:eastAsia="宋体" w:cs="Times New Roman"/>
                      <w:szCs w:val="20"/>
                    </w:rPr>
                  </w:pPr>
                  <w:r>
                    <w:rPr>
                      <w:rFonts w:ascii="Times New Roman" w:hAnsi="Times New Roman" w:eastAsia="宋体" w:cs="Times New Roman"/>
                      <w:szCs w:val="20"/>
                    </w:rPr>
                    <w:t>袋装</w:t>
                  </w:r>
                </w:p>
              </w:tc>
              <w:tc>
                <w:tcPr>
                  <w:tcW w:w="1318" w:type="pct"/>
                  <w:vMerge w:val="restart"/>
                  <w:vAlign w:val="center"/>
                </w:tcPr>
                <w:p>
                  <w:pPr>
                    <w:adjustRightInd w:val="0"/>
                    <w:snapToGrid w:val="0"/>
                    <w:jc w:val="center"/>
                    <w:rPr>
                      <w:rFonts w:ascii="Times New Roman" w:hAnsi="Times New Roman" w:eastAsia="宋体" w:cs="Times New Roman"/>
                      <w:szCs w:val="20"/>
                    </w:rPr>
                  </w:pPr>
                  <w:r>
                    <w:rPr>
                      <w:rFonts w:ascii="Times New Roman" w:hAnsi="Times New Roman" w:eastAsia="宋体" w:cs="Times New Roman"/>
                      <w:szCs w:val="20"/>
                    </w:rPr>
                    <w:t>主要供给上游厂家，作为涤纤、化纤和塑料制品的原料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18" w:type="pct"/>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瓶盖</w:t>
                  </w:r>
                </w:p>
              </w:tc>
              <w:tc>
                <w:tcPr>
                  <w:tcW w:w="685" w:type="pct"/>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2200</w:t>
                  </w:r>
                </w:p>
              </w:tc>
              <w:tc>
                <w:tcPr>
                  <w:tcW w:w="1332" w:type="pct"/>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1.6-1.8</w:t>
                  </w:r>
                </w:p>
              </w:tc>
              <w:tc>
                <w:tcPr>
                  <w:tcW w:w="747" w:type="pct"/>
                </w:tcPr>
                <w:p>
                  <w:pPr>
                    <w:adjustRightInd w:val="0"/>
                    <w:snapToGrid w:val="0"/>
                    <w:jc w:val="center"/>
                    <w:rPr>
                      <w:rFonts w:ascii="Times New Roman" w:hAnsi="Times New Roman" w:eastAsia="宋体" w:cs="Times New Roman"/>
                      <w:szCs w:val="20"/>
                    </w:rPr>
                  </w:pPr>
                  <w:r>
                    <w:rPr>
                      <w:rFonts w:ascii="Times New Roman" w:hAnsi="Times New Roman" w:eastAsia="宋体" w:cs="Times New Roman"/>
                      <w:szCs w:val="20"/>
                    </w:rPr>
                    <w:t>袋装</w:t>
                  </w:r>
                </w:p>
              </w:tc>
              <w:tc>
                <w:tcPr>
                  <w:tcW w:w="1318" w:type="pct"/>
                  <w:vMerge w:val="continue"/>
                  <w:vAlign w:val="center"/>
                </w:tcPr>
                <w:p>
                  <w:pPr>
                    <w:adjustRightInd w:val="0"/>
                    <w:snapToGrid w:val="0"/>
                    <w:jc w:val="center"/>
                    <w:rPr>
                      <w:rFonts w:ascii="Times New Roman" w:hAnsi="Times New Roman" w:eastAsia="宋体" w:cs="Times New Roman"/>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18" w:type="pct"/>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脱标胶纸</w:t>
                  </w:r>
                </w:p>
              </w:tc>
              <w:tc>
                <w:tcPr>
                  <w:tcW w:w="685" w:type="pct"/>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900</w:t>
                  </w:r>
                </w:p>
              </w:tc>
              <w:tc>
                <w:tcPr>
                  <w:tcW w:w="1332" w:type="pct"/>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w:t>
                  </w:r>
                </w:p>
              </w:tc>
              <w:tc>
                <w:tcPr>
                  <w:tcW w:w="747" w:type="pct"/>
                </w:tcPr>
                <w:p>
                  <w:pPr>
                    <w:adjustRightInd w:val="0"/>
                    <w:snapToGrid w:val="0"/>
                    <w:jc w:val="center"/>
                    <w:rPr>
                      <w:rFonts w:ascii="Times New Roman" w:hAnsi="Times New Roman" w:eastAsia="宋体" w:cs="Times New Roman"/>
                      <w:szCs w:val="20"/>
                    </w:rPr>
                  </w:pPr>
                  <w:r>
                    <w:rPr>
                      <w:rFonts w:ascii="Times New Roman" w:hAnsi="Times New Roman" w:eastAsia="宋体" w:cs="Times New Roman"/>
                      <w:szCs w:val="20"/>
                    </w:rPr>
                    <w:t>袋装</w:t>
                  </w:r>
                </w:p>
              </w:tc>
              <w:tc>
                <w:tcPr>
                  <w:tcW w:w="1318" w:type="pct"/>
                  <w:vMerge w:val="continue"/>
                  <w:vAlign w:val="center"/>
                </w:tcPr>
                <w:p>
                  <w:pPr>
                    <w:adjustRightInd w:val="0"/>
                    <w:snapToGrid w:val="0"/>
                    <w:jc w:val="center"/>
                    <w:rPr>
                      <w:rFonts w:ascii="Times New Roman" w:hAnsi="Times New Roman" w:eastAsia="宋体" w:cs="Times New Roman"/>
                      <w:szCs w:val="20"/>
                    </w:rPr>
                  </w:pPr>
                </w:p>
              </w:tc>
            </w:tr>
          </w:tbl>
          <w:p>
            <w:pPr>
              <w:adjustRightInd w:val="0"/>
              <w:snapToGrid w:val="0"/>
              <w:spacing w:line="360" w:lineRule="auto"/>
              <w:ind w:firstLine="482"/>
              <w:jc w:val="left"/>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3、主要生产设施及设施参数</w:t>
            </w:r>
          </w:p>
          <w:p>
            <w:pPr>
              <w:adjustRightInd w:val="0"/>
              <w:snapToGrid w:val="0"/>
              <w:spacing w:line="360" w:lineRule="auto"/>
              <w:ind w:firstLine="420"/>
              <w:rPr>
                <w:rFonts w:ascii="Times New Roman" w:hAnsi="Times New Roman" w:eastAsia="宋体" w:cs="Times New Roman"/>
                <w:szCs w:val="24"/>
              </w:rPr>
            </w:pPr>
            <w:r>
              <w:rPr>
                <w:rFonts w:hint="eastAsia" w:ascii="Times New Roman" w:hAnsi="Times New Roman" w:eastAsia="宋体" w:cs="Times New Roman"/>
                <w:szCs w:val="24"/>
              </w:rPr>
              <w:t>主要生产设备见下表。</w:t>
            </w:r>
          </w:p>
          <w:p>
            <w:pPr>
              <w:spacing w:before="120" w:beforeLines="50"/>
              <w:ind w:firstLine="422"/>
              <w:jc w:val="center"/>
              <w:rPr>
                <w:rFonts w:ascii="Times New Roman" w:hAnsi="Times New Roman" w:eastAsia="宋体" w:cs="Times New Roman"/>
                <w:szCs w:val="24"/>
              </w:rPr>
            </w:pPr>
            <w:r>
              <w:rPr>
                <w:rFonts w:hint="eastAsia" w:ascii="Times New Roman" w:hAnsi="Times New Roman" w:eastAsia="宋体" w:cs="Times New Roman"/>
                <w:b/>
                <w:bCs/>
                <w:szCs w:val="21"/>
              </w:rPr>
              <w:t>表7主要生产设备一览表</w:t>
            </w: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40"/>
              <w:gridCol w:w="1340"/>
              <w:gridCol w:w="1340"/>
              <w:gridCol w:w="1340"/>
              <w:gridCol w:w="1501"/>
              <w:gridCol w:w="11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序号</w:t>
                  </w:r>
                </w:p>
              </w:tc>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设备名称</w:t>
                  </w:r>
                </w:p>
              </w:tc>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数量</w:t>
                  </w:r>
                </w:p>
              </w:tc>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单位</w:t>
                  </w:r>
                </w:p>
              </w:tc>
              <w:tc>
                <w:tcPr>
                  <w:tcW w:w="940"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规模或型号</w:t>
                  </w:r>
                </w:p>
              </w:tc>
              <w:tc>
                <w:tcPr>
                  <w:tcW w:w="704" w:type="pct"/>
                </w:tcPr>
                <w:p>
                  <w:pPr>
                    <w:jc w:val="center"/>
                    <w:rPr>
                      <w:rFonts w:ascii="Times New Roman" w:hAnsi="宋体" w:eastAsia="宋体" w:cs="Times New Roman"/>
                      <w:szCs w:val="21"/>
                    </w:rPr>
                  </w:pPr>
                  <w:r>
                    <w:rPr>
                      <w:rFonts w:hint="eastAsia" w:ascii="Times New Roman" w:hAnsi="宋体" w:eastAsia="宋体" w:cs="Times New Roman"/>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1</w:t>
                  </w:r>
                </w:p>
              </w:tc>
              <w:tc>
                <w:tcPr>
                  <w:tcW w:w="839" w:type="pct"/>
                  <w:vAlign w:val="center"/>
                </w:tcPr>
                <w:p>
                  <w:pPr>
                    <w:widowControl/>
                    <w:jc w:val="center"/>
                    <w:rPr>
                      <w:rFonts w:ascii="Times New Roman" w:hAnsi="Times New Roman" w:eastAsia="宋体" w:cs="Times New Roman"/>
                      <w:szCs w:val="21"/>
                    </w:rPr>
                  </w:pPr>
                  <w:r>
                    <w:rPr>
                      <w:rFonts w:hint="eastAsia" w:ascii="Times New Roman" w:hAnsi="宋体" w:eastAsia="宋体" w:cs="Times New Roman"/>
                      <w:szCs w:val="21"/>
                    </w:rPr>
                    <w:t>扒瓶机</w:t>
                  </w:r>
                </w:p>
              </w:tc>
              <w:tc>
                <w:tcPr>
                  <w:tcW w:w="839" w:type="pct"/>
                  <w:vAlign w:val="center"/>
                </w:tcPr>
                <w:p>
                  <w:pPr>
                    <w:widowControl/>
                    <w:jc w:val="center"/>
                    <w:rPr>
                      <w:rFonts w:ascii="Times New Roman" w:hAnsi="Times New Roman" w:eastAsia="宋体" w:cs="Times New Roman"/>
                      <w:szCs w:val="21"/>
                    </w:rPr>
                  </w:pPr>
                  <w:r>
                    <w:rPr>
                      <w:rFonts w:hint="eastAsia" w:ascii="Times New Roman" w:hAnsi="Times New Roman" w:eastAsia="宋体" w:cs="Times New Roman"/>
                      <w:szCs w:val="21"/>
                    </w:rPr>
                    <w:t>2</w:t>
                  </w:r>
                </w:p>
              </w:tc>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台</w:t>
                  </w:r>
                </w:p>
              </w:tc>
              <w:tc>
                <w:tcPr>
                  <w:tcW w:w="940" w:type="pct"/>
                  <w:vAlign w:val="center"/>
                </w:tcPr>
                <w:p>
                  <w:pPr>
                    <w:widowControl/>
                    <w:jc w:val="center"/>
                    <w:rPr>
                      <w:rFonts w:ascii="Times New Roman" w:hAnsi="Times New Roman" w:eastAsia="宋体" w:cs="Times New Roman"/>
                      <w:szCs w:val="21"/>
                    </w:rPr>
                  </w:pPr>
                </w:p>
              </w:tc>
              <w:tc>
                <w:tcPr>
                  <w:tcW w:w="704" w:type="pct"/>
                </w:tcPr>
                <w:p>
                  <w:pPr>
                    <w:widowControl/>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2</w:t>
                  </w:r>
                </w:p>
              </w:tc>
              <w:tc>
                <w:tcPr>
                  <w:tcW w:w="839" w:type="pct"/>
                  <w:vAlign w:val="center"/>
                </w:tcPr>
                <w:p>
                  <w:pPr>
                    <w:widowControl/>
                    <w:jc w:val="center"/>
                    <w:rPr>
                      <w:rFonts w:ascii="Times New Roman" w:hAnsi="宋体" w:eastAsia="宋体" w:cs="Times New Roman"/>
                      <w:szCs w:val="21"/>
                    </w:rPr>
                  </w:pPr>
                  <w:r>
                    <w:rPr>
                      <w:rFonts w:ascii="Times New Roman" w:hAnsi="宋体" w:eastAsia="宋体" w:cs="Times New Roman"/>
                      <w:szCs w:val="21"/>
                    </w:rPr>
                    <w:t>传送带</w:t>
                  </w:r>
                </w:p>
              </w:tc>
              <w:tc>
                <w:tcPr>
                  <w:tcW w:w="839" w:type="pct"/>
                  <w:vAlign w:val="center"/>
                </w:tcPr>
                <w:p>
                  <w:pPr>
                    <w:widowControl/>
                    <w:jc w:val="center"/>
                    <w:rPr>
                      <w:rFonts w:ascii="Times New Roman" w:hAnsi="Times New Roman" w:eastAsia="宋体" w:cs="Times New Roman"/>
                      <w:szCs w:val="21"/>
                    </w:rPr>
                  </w:pPr>
                  <w:r>
                    <w:rPr>
                      <w:rFonts w:hint="eastAsia" w:ascii="Times New Roman" w:hAnsi="Times New Roman" w:eastAsia="宋体" w:cs="Times New Roman"/>
                      <w:szCs w:val="21"/>
                    </w:rPr>
                    <w:t>4</w:t>
                  </w:r>
                </w:p>
              </w:tc>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个</w:t>
                  </w:r>
                </w:p>
              </w:tc>
              <w:tc>
                <w:tcPr>
                  <w:tcW w:w="940" w:type="pct"/>
                  <w:vAlign w:val="center"/>
                </w:tcPr>
                <w:p>
                  <w:pPr>
                    <w:widowControl/>
                    <w:jc w:val="center"/>
                    <w:rPr>
                      <w:rFonts w:ascii="Times New Roman" w:hAnsi="Times New Roman" w:eastAsia="宋体" w:cs="Times New Roman"/>
                      <w:szCs w:val="21"/>
                    </w:rPr>
                  </w:pPr>
                  <w:r>
                    <w:rPr>
                      <w:rFonts w:hint="eastAsia" w:ascii="Times New Roman" w:hAnsi="Times New Roman" w:eastAsia="宋体" w:cs="Times New Roman"/>
                      <w:szCs w:val="21"/>
                    </w:rPr>
                    <w:t>6×0.6m</w:t>
                  </w:r>
                </w:p>
              </w:tc>
              <w:tc>
                <w:tcPr>
                  <w:tcW w:w="704" w:type="pct"/>
                </w:tcPr>
                <w:p>
                  <w:pPr>
                    <w:widowControl/>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3</w:t>
                  </w:r>
                </w:p>
              </w:tc>
              <w:tc>
                <w:tcPr>
                  <w:tcW w:w="839" w:type="pct"/>
                  <w:vAlign w:val="center"/>
                </w:tcPr>
                <w:p>
                  <w:pPr>
                    <w:widowControl/>
                    <w:jc w:val="center"/>
                    <w:rPr>
                      <w:rFonts w:ascii="Times New Roman" w:hAnsi="宋体" w:eastAsia="宋体" w:cs="Times New Roman"/>
                      <w:szCs w:val="21"/>
                    </w:rPr>
                  </w:pPr>
                  <w:r>
                    <w:rPr>
                      <w:rFonts w:ascii="Times New Roman" w:hAnsi="宋体" w:eastAsia="宋体" w:cs="Times New Roman"/>
                      <w:szCs w:val="21"/>
                    </w:rPr>
                    <w:t>粉碎机</w:t>
                  </w:r>
                </w:p>
              </w:tc>
              <w:tc>
                <w:tcPr>
                  <w:tcW w:w="839" w:type="pct"/>
                  <w:vAlign w:val="center"/>
                </w:tcPr>
                <w:p>
                  <w:pPr>
                    <w:widowControl/>
                    <w:jc w:val="center"/>
                    <w:rPr>
                      <w:rFonts w:ascii="Times New Roman" w:hAnsi="Times New Roman" w:eastAsia="宋体" w:cs="Times New Roman"/>
                      <w:szCs w:val="21"/>
                    </w:rPr>
                  </w:pPr>
                  <w:r>
                    <w:rPr>
                      <w:rFonts w:hint="eastAsia" w:ascii="Times New Roman" w:hAnsi="Times New Roman" w:eastAsia="宋体" w:cs="Times New Roman"/>
                      <w:szCs w:val="21"/>
                    </w:rPr>
                    <w:t>3</w:t>
                  </w:r>
                </w:p>
              </w:tc>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台</w:t>
                  </w:r>
                </w:p>
              </w:tc>
              <w:tc>
                <w:tcPr>
                  <w:tcW w:w="940" w:type="pct"/>
                  <w:vAlign w:val="center"/>
                </w:tcPr>
                <w:p>
                  <w:pPr>
                    <w:widowControl/>
                    <w:jc w:val="center"/>
                    <w:rPr>
                      <w:rFonts w:ascii="Times New Roman" w:hAnsi="Times New Roman" w:eastAsia="宋体" w:cs="Times New Roman"/>
                      <w:szCs w:val="21"/>
                    </w:rPr>
                  </w:pPr>
                  <w:r>
                    <w:rPr>
                      <w:rFonts w:hint="eastAsia" w:ascii="Times New Roman" w:hAnsi="Times New Roman" w:eastAsia="宋体" w:cs="Times New Roman"/>
                      <w:szCs w:val="21"/>
                    </w:rPr>
                    <w:t>0.8m</w:t>
                  </w:r>
                </w:p>
              </w:tc>
              <w:tc>
                <w:tcPr>
                  <w:tcW w:w="704" w:type="pct"/>
                </w:tcPr>
                <w:p>
                  <w:pPr>
                    <w:widowControl/>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4</w:t>
                  </w:r>
                </w:p>
              </w:tc>
              <w:tc>
                <w:tcPr>
                  <w:tcW w:w="839" w:type="pct"/>
                  <w:vAlign w:val="center"/>
                </w:tcPr>
                <w:p>
                  <w:pPr>
                    <w:widowControl/>
                    <w:jc w:val="center"/>
                    <w:rPr>
                      <w:rFonts w:ascii="Times New Roman" w:hAnsi="Times New Roman" w:eastAsia="宋体" w:cs="Times New Roman"/>
                      <w:szCs w:val="21"/>
                    </w:rPr>
                  </w:pPr>
                  <w:r>
                    <w:rPr>
                      <w:rFonts w:ascii="Times New Roman" w:hAnsi="Times New Roman" w:eastAsia="宋体" w:cs="Times New Roman"/>
                      <w:szCs w:val="21"/>
                    </w:rPr>
                    <w:t>甩干机</w:t>
                  </w:r>
                </w:p>
              </w:tc>
              <w:tc>
                <w:tcPr>
                  <w:tcW w:w="839" w:type="pct"/>
                  <w:vAlign w:val="center"/>
                </w:tcPr>
                <w:p>
                  <w:pPr>
                    <w:widowControl/>
                    <w:jc w:val="center"/>
                    <w:rPr>
                      <w:rFonts w:ascii="Times New Roman" w:hAnsi="Times New Roman" w:eastAsia="宋体" w:cs="Times New Roman"/>
                      <w:szCs w:val="21"/>
                    </w:rPr>
                  </w:pPr>
                  <w:r>
                    <w:rPr>
                      <w:rFonts w:hint="eastAsia" w:ascii="Times New Roman" w:hAnsi="Times New Roman" w:eastAsia="宋体" w:cs="Times New Roman"/>
                      <w:szCs w:val="21"/>
                    </w:rPr>
                    <w:t>5</w:t>
                  </w:r>
                </w:p>
              </w:tc>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台</w:t>
                  </w:r>
                </w:p>
              </w:tc>
              <w:tc>
                <w:tcPr>
                  <w:tcW w:w="940" w:type="pct"/>
                  <w:vAlign w:val="center"/>
                </w:tcPr>
                <w:p>
                  <w:pPr>
                    <w:widowControl/>
                    <w:jc w:val="center"/>
                    <w:rPr>
                      <w:rFonts w:ascii="Times New Roman" w:hAnsi="Times New Roman" w:eastAsia="宋体" w:cs="Times New Roman"/>
                      <w:szCs w:val="21"/>
                    </w:rPr>
                  </w:pPr>
                </w:p>
              </w:tc>
              <w:tc>
                <w:tcPr>
                  <w:tcW w:w="704" w:type="pct"/>
                </w:tcPr>
                <w:p>
                  <w:pPr>
                    <w:widowControl/>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5</w:t>
                  </w:r>
                </w:p>
              </w:tc>
              <w:tc>
                <w:tcPr>
                  <w:tcW w:w="839" w:type="pct"/>
                  <w:vAlign w:val="center"/>
                </w:tcPr>
                <w:p>
                  <w:pPr>
                    <w:widowControl/>
                    <w:jc w:val="center"/>
                    <w:rPr>
                      <w:rFonts w:ascii="Times New Roman" w:hAnsi="Times New Roman" w:eastAsia="宋体" w:cs="Times New Roman"/>
                      <w:szCs w:val="21"/>
                    </w:rPr>
                  </w:pPr>
                  <w:r>
                    <w:rPr>
                      <w:rFonts w:ascii="Times New Roman" w:hAnsi="Times New Roman" w:eastAsia="宋体" w:cs="Times New Roman"/>
                      <w:szCs w:val="21"/>
                    </w:rPr>
                    <w:t>分离槽</w:t>
                  </w:r>
                </w:p>
              </w:tc>
              <w:tc>
                <w:tcPr>
                  <w:tcW w:w="839" w:type="pct"/>
                  <w:vAlign w:val="center"/>
                </w:tcPr>
                <w:p>
                  <w:pPr>
                    <w:widowControl/>
                    <w:jc w:val="center"/>
                    <w:rPr>
                      <w:rFonts w:ascii="Times New Roman" w:hAnsi="Times New Roman" w:eastAsia="宋体" w:cs="Times New Roman"/>
                      <w:szCs w:val="21"/>
                    </w:rPr>
                  </w:pPr>
                  <w:r>
                    <w:rPr>
                      <w:rFonts w:hint="eastAsia" w:ascii="Times New Roman" w:hAnsi="Times New Roman" w:eastAsia="宋体" w:cs="Times New Roman"/>
                      <w:szCs w:val="21"/>
                    </w:rPr>
                    <w:t>5</w:t>
                  </w:r>
                </w:p>
              </w:tc>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台</w:t>
                  </w:r>
                </w:p>
              </w:tc>
              <w:tc>
                <w:tcPr>
                  <w:tcW w:w="940" w:type="pct"/>
                  <w:vAlign w:val="center"/>
                </w:tcPr>
                <w:p>
                  <w:pPr>
                    <w:widowControl/>
                    <w:jc w:val="center"/>
                    <w:rPr>
                      <w:rFonts w:ascii="Times New Roman" w:hAnsi="Times New Roman" w:eastAsia="宋体" w:cs="Times New Roman"/>
                      <w:szCs w:val="21"/>
                    </w:rPr>
                  </w:pPr>
                </w:p>
              </w:tc>
              <w:tc>
                <w:tcPr>
                  <w:tcW w:w="704" w:type="pct"/>
                </w:tcPr>
                <w:p>
                  <w:pPr>
                    <w:widowControl/>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6</w:t>
                  </w:r>
                </w:p>
              </w:tc>
              <w:tc>
                <w:tcPr>
                  <w:tcW w:w="839" w:type="pct"/>
                  <w:vAlign w:val="center"/>
                </w:tcPr>
                <w:p>
                  <w:pPr>
                    <w:widowControl/>
                    <w:jc w:val="center"/>
                    <w:rPr>
                      <w:rFonts w:ascii="Times New Roman" w:hAnsi="Times New Roman" w:eastAsia="宋体" w:cs="Times New Roman"/>
                      <w:szCs w:val="21"/>
                    </w:rPr>
                  </w:pPr>
                  <w:r>
                    <w:rPr>
                      <w:rFonts w:ascii="Times New Roman" w:hAnsi="Times New Roman" w:eastAsia="宋体" w:cs="Times New Roman"/>
                      <w:szCs w:val="21"/>
                    </w:rPr>
                    <w:t>风选机</w:t>
                  </w:r>
                </w:p>
              </w:tc>
              <w:tc>
                <w:tcPr>
                  <w:tcW w:w="839" w:type="pct"/>
                  <w:vAlign w:val="center"/>
                </w:tcPr>
                <w:p>
                  <w:pPr>
                    <w:widowControl/>
                    <w:jc w:val="center"/>
                    <w:rPr>
                      <w:rFonts w:ascii="Times New Roman" w:hAnsi="Times New Roman" w:eastAsia="宋体" w:cs="Times New Roman"/>
                      <w:szCs w:val="21"/>
                    </w:rPr>
                  </w:pPr>
                  <w:r>
                    <w:rPr>
                      <w:rFonts w:hint="eastAsia" w:ascii="Times New Roman" w:hAnsi="Times New Roman" w:eastAsia="宋体" w:cs="Times New Roman"/>
                      <w:szCs w:val="21"/>
                    </w:rPr>
                    <w:t>3</w:t>
                  </w:r>
                </w:p>
              </w:tc>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个</w:t>
                  </w:r>
                </w:p>
              </w:tc>
              <w:tc>
                <w:tcPr>
                  <w:tcW w:w="940" w:type="pct"/>
                  <w:vAlign w:val="center"/>
                </w:tcPr>
                <w:p>
                  <w:pPr>
                    <w:widowControl/>
                    <w:jc w:val="center"/>
                    <w:rPr>
                      <w:rFonts w:ascii="Times New Roman" w:hAnsi="Times New Roman" w:eastAsia="宋体" w:cs="Times New Roman"/>
                      <w:szCs w:val="21"/>
                    </w:rPr>
                  </w:pPr>
                  <w:r>
                    <w:rPr>
                      <w:rFonts w:hint="eastAsia" w:ascii="Times New Roman" w:hAnsi="Times New Roman" w:eastAsia="宋体" w:cs="Times New Roman"/>
                      <w:szCs w:val="21"/>
                    </w:rPr>
                    <w:t>7.5kw</w:t>
                  </w:r>
                </w:p>
              </w:tc>
              <w:tc>
                <w:tcPr>
                  <w:tcW w:w="704" w:type="pct"/>
                </w:tcPr>
                <w:p>
                  <w:pPr>
                    <w:widowControl/>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7</w:t>
                  </w:r>
                </w:p>
              </w:tc>
              <w:tc>
                <w:tcPr>
                  <w:tcW w:w="839" w:type="pct"/>
                  <w:vAlign w:val="center"/>
                </w:tcPr>
                <w:p>
                  <w:pPr>
                    <w:widowControl/>
                    <w:jc w:val="center"/>
                    <w:rPr>
                      <w:rFonts w:ascii="Times New Roman" w:hAnsi="宋体" w:eastAsia="宋体" w:cs="Times New Roman"/>
                      <w:szCs w:val="21"/>
                    </w:rPr>
                  </w:pPr>
                  <w:r>
                    <w:rPr>
                      <w:rFonts w:ascii="Times New Roman" w:hAnsi="宋体" w:eastAsia="宋体" w:cs="Times New Roman"/>
                      <w:szCs w:val="21"/>
                    </w:rPr>
                    <w:t>打包机</w:t>
                  </w:r>
                </w:p>
              </w:tc>
              <w:tc>
                <w:tcPr>
                  <w:tcW w:w="839" w:type="pct"/>
                  <w:vAlign w:val="center"/>
                </w:tcPr>
                <w:p>
                  <w:pPr>
                    <w:widowControl/>
                    <w:jc w:val="center"/>
                    <w:rPr>
                      <w:rFonts w:ascii="Times New Roman" w:hAnsi="Times New Roman" w:eastAsia="宋体" w:cs="Times New Roman"/>
                      <w:szCs w:val="21"/>
                    </w:rPr>
                  </w:pPr>
                  <w:r>
                    <w:rPr>
                      <w:rFonts w:hint="eastAsia" w:ascii="Times New Roman" w:hAnsi="Times New Roman" w:eastAsia="宋体" w:cs="Times New Roman"/>
                      <w:szCs w:val="21"/>
                    </w:rPr>
                    <w:t>2</w:t>
                  </w:r>
                </w:p>
              </w:tc>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个</w:t>
                  </w:r>
                </w:p>
              </w:tc>
              <w:tc>
                <w:tcPr>
                  <w:tcW w:w="940" w:type="pct"/>
                  <w:vAlign w:val="center"/>
                </w:tcPr>
                <w:p>
                  <w:pPr>
                    <w:widowControl/>
                    <w:jc w:val="center"/>
                    <w:rPr>
                      <w:rFonts w:ascii="Times New Roman" w:hAnsi="Times New Roman" w:eastAsia="宋体" w:cs="Times New Roman"/>
                      <w:szCs w:val="21"/>
                    </w:rPr>
                  </w:pPr>
                  <w:r>
                    <w:rPr>
                      <w:rFonts w:hint="eastAsia" w:ascii="Times New Roman" w:hAnsi="Times New Roman" w:eastAsia="宋体" w:cs="Times New Roman"/>
                      <w:szCs w:val="21"/>
                    </w:rPr>
                    <w:t>10kw</w:t>
                  </w:r>
                </w:p>
              </w:tc>
              <w:tc>
                <w:tcPr>
                  <w:tcW w:w="704" w:type="pct"/>
                </w:tcPr>
                <w:p>
                  <w:pPr>
                    <w:widowControl/>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8</w:t>
                  </w:r>
                </w:p>
              </w:tc>
              <w:tc>
                <w:tcPr>
                  <w:tcW w:w="839" w:type="pct"/>
                  <w:vAlign w:val="center"/>
                </w:tcPr>
                <w:p>
                  <w:pPr>
                    <w:widowControl/>
                    <w:jc w:val="center"/>
                    <w:rPr>
                      <w:rFonts w:ascii="Times New Roman" w:hAnsi="Times New Roman" w:eastAsia="宋体" w:cs="Times New Roman"/>
                      <w:szCs w:val="21"/>
                    </w:rPr>
                  </w:pPr>
                  <w:r>
                    <w:rPr>
                      <w:rFonts w:ascii="Times New Roman" w:hAnsi="Times New Roman" w:eastAsia="宋体" w:cs="Times New Roman"/>
                      <w:szCs w:val="21"/>
                    </w:rPr>
                    <w:t>拆包机</w:t>
                  </w:r>
                </w:p>
              </w:tc>
              <w:tc>
                <w:tcPr>
                  <w:tcW w:w="839" w:type="pct"/>
                  <w:vAlign w:val="center"/>
                </w:tcPr>
                <w:p>
                  <w:pPr>
                    <w:widowControl/>
                    <w:jc w:val="center"/>
                    <w:rPr>
                      <w:rFonts w:ascii="Times New Roman" w:hAnsi="Times New Roman" w:eastAsia="宋体" w:cs="Times New Roman"/>
                      <w:szCs w:val="21"/>
                    </w:rPr>
                  </w:pPr>
                  <w:r>
                    <w:rPr>
                      <w:rFonts w:hint="eastAsia" w:ascii="Times New Roman" w:hAnsi="Times New Roman" w:eastAsia="宋体" w:cs="Times New Roman"/>
                      <w:szCs w:val="21"/>
                    </w:rPr>
                    <w:t>1</w:t>
                  </w:r>
                </w:p>
              </w:tc>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台</w:t>
                  </w:r>
                </w:p>
              </w:tc>
              <w:tc>
                <w:tcPr>
                  <w:tcW w:w="940" w:type="pct"/>
                  <w:vAlign w:val="center"/>
                </w:tcPr>
                <w:p>
                  <w:pPr>
                    <w:widowControl/>
                    <w:jc w:val="center"/>
                    <w:rPr>
                      <w:rFonts w:ascii="Times New Roman" w:hAnsi="Times New Roman" w:eastAsia="宋体" w:cs="Times New Roman"/>
                      <w:szCs w:val="21"/>
                    </w:rPr>
                  </w:pPr>
                  <w:r>
                    <w:rPr>
                      <w:rFonts w:hint="eastAsia" w:ascii="Times New Roman" w:hAnsi="Times New Roman" w:eastAsia="宋体" w:cs="Times New Roman"/>
                      <w:szCs w:val="21"/>
                    </w:rPr>
                    <w:t>7.5kw</w:t>
                  </w:r>
                </w:p>
              </w:tc>
              <w:tc>
                <w:tcPr>
                  <w:tcW w:w="704" w:type="pct"/>
                </w:tcPr>
                <w:p>
                  <w:pPr>
                    <w:widowControl/>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9</w:t>
                  </w:r>
                </w:p>
              </w:tc>
              <w:tc>
                <w:tcPr>
                  <w:tcW w:w="839" w:type="pct"/>
                  <w:vAlign w:val="center"/>
                </w:tcPr>
                <w:p>
                  <w:pPr>
                    <w:widowControl/>
                    <w:jc w:val="center"/>
                    <w:rPr>
                      <w:rFonts w:ascii="Times New Roman" w:hAnsi="Times New Roman" w:eastAsia="宋体" w:cs="Times New Roman"/>
                      <w:szCs w:val="21"/>
                    </w:rPr>
                  </w:pPr>
                  <w:r>
                    <w:rPr>
                      <w:rFonts w:ascii="Times New Roman" w:hAnsi="Times New Roman" w:eastAsia="宋体" w:cs="Times New Roman"/>
                      <w:szCs w:val="21"/>
                    </w:rPr>
                    <w:t>传送带</w:t>
                  </w:r>
                </w:p>
              </w:tc>
              <w:tc>
                <w:tcPr>
                  <w:tcW w:w="839" w:type="pct"/>
                  <w:vAlign w:val="center"/>
                </w:tcPr>
                <w:p>
                  <w:pPr>
                    <w:widowControl/>
                    <w:jc w:val="center"/>
                    <w:rPr>
                      <w:rFonts w:ascii="Times New Roman" w:hAnsi="Times New Roman" w:eastAsia="宋体" w:cs="Times New Roman"/>
                      <w:szCs w:val="21"/>
                    </w:rPr>
                  </w:pPr>
                  <w:r>
                    <w:rPr>
                      <w:rFonts w:hint="eastAsia" w:ascii="Times New Roman" w:hAnsi="Times New Roman" w:eastAsia="宋体" w:cs="Times New Roman"/>
                      <w:szCs w:val="21"/>
                    </w:rPr>
                    <w:t>1</w:t>
                  </w:r>
                </w:p>
              </w:tc>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个</w:t>
                  </w:r>
                </w:p>
              </w:tc>
              <w:tc>
                <w:tcPr>
                  <w:tcW w:w="940" w:type="pct"/>
                  <w:vAlign w:val="center"/>
                </w:tcPr>
                <w:p>
                  <w:pPr>
                    <w:widowControl/>
                    <w:jc w:val="center"/>
                    <w:rPr>
                      <w:rFonts w:ascii="Times New Roman" w:hAnsi="Times New Roman" w:eastAsia="宋体" w:cs="Times New Roman"/>
                      <w:szCs w:val="21"/>
                    </w:rPr>
                  </w:pPr>
                  <w:r>
                    <w:rPr>
                      <w:rFonts w:hint="eastAsia" w:ascii="Times New Roman" w:hAnsi="Times New Roman" w:eastAsia="宋体" w:cs="Times New Roman"/>
                      <w:szCs w:val="21"/>
                    </w:rPr>
                    <w:t>12×0.6m</w:t>
                  </w:r>
                </w:p>
              </w:tc>
              <w:tc>
                <w:tcPr>
                  <w:tcW w:w="704" w:type="pct"/>
                </w:tcPr>
                <w:p>
                  <w:pPr>
                    <w:widowControl/>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10</w:t>
                  </w:r>
                </w:p>
              </w:tc>
              <w:tc>
                <w:tcPr>
                  <w:tcW w:w="839" w:type="pct"/>
                  <w:vAlign w:val="center"/>
                </w:tcPr>
                <w:p>
                  <w:pPr>
                    <w:widowControl/>
                    <w:jc w:val="center"/>
                    <w:rPr>
                      <w:rFonts w:ascii="Times New Roman" w:hAnsi="Times New Roman" w:eastAsia="宋体" w:cs="Times New Roman"/>
                      <w:szCs w:val="21"/>
                    </w:rPr>
                  </w:pPr>
                  <w:r>
                    <w:rPr>
                      <w:rFonts w:ascii="Times New Roman" w:hAnsi="Times New Roman" w:eastAsia="宋体" w:cs="Times New Roman"/>
                      <w:szCs w:val="21"/>
                    </w:rPr>
                    <w:t>装载机</w:t>
                  </w:r>
                </w:p>
              </w:tc>
              <w:tc>
                <w:tcPr>
                  <w:tcW w:w="839" w:type="pct"/>
                  <w:vAlign w:val="center"/>
                </w:tcPr>
                <w:p>
                  <w:pPr>
                    <w:widowControl/>
                    <w:jc w:val="center"/>
                    <w:rPr>
                      <w:rFonts w:ascii="Times New Roman" w:hAnsi="Times New Roman" w:eastAsia="宋体" w:cs="Times New Roman"/>
                      <w:szCs w:val="21"/>
                    </w:rPr>
                  </w:pPr>
                  <w:r>
                    <w:rPr>
                      <w:rFonts w:hint="eastAsia" w:ascii="Times New Roman" w:hAnsi="Times New Roman" w:eastAsia="宋体" w:cs="Times New Roman"/>
                      <w:szCs w:val="21"/>
                    </w:rPr>
                    <w:t>1</w:t>
                  </w:r>
                </w:p>
              </w:tc>
              <w:tc>
                <w:tcPr>
                  <w:tcW w:w="839" w:type="pct"/>
                  <w:vAlign w:val="center"/>
                </w:tcPr>
                <w:p>
                  <w:pPr>
                    <w:jc w:val="center"/>
                    <w:rPr>
                      <w:rFonts w:ascii="Times New Roman" w:hAnsi="宋体" w:eastAsia="宋体" w:cs="Times New Roman"/>
                      <w:szCs w:val="21"/>
                    </w:rPr>
                  </w:pPr>
                  <w:r>
                    <w:rPr>
                      <w:rFonts w:hint="eastAsia" w:ascii="Times New Roman" w:hAnsi="宋体" w:eastAsia="宋体" w:cs="Times New Roman"/>
                      <w:szCs w:val="21"/>
                    </w:rPr>
                    <w:t>辆</w:t>
                  </w:r>
                </w:p>
              </w:tc>
              <w:tc>
                <w:tcPr>
                  <w:tcW w:w="940" w:type="pct"/>
                  <w:vAlign w:val="center"/>
                </w:tcPr>
                <w:p>
                  <w:pPr>
                    <w:widowControl/>
                    <w:jc w:val="center"/>
                    <w:rPr>
                      <w:rFonts w:ascii="Times New Roman" w:hAnsi="Times New Roman" w:eastAsia="宋体" w:cs="Times New Roman"/>
                      <w:szCs w:val="21"/>
                    </w:rPr>
                  </w:pPr>
                </w:p>
              </w:tc>
              <w:tc>
                <w:tcPr>
                  <w:tcW w:w="704" w:type="pct"/>
                </w:tcPr>
                <w:p>
                  <w:pPr>
                    <w:widowControl/>
                    <w:jc w:val="center"/>
                    <w:rPr>
                      <w:rFonts w:ascii="Times New Roman" w:hAnsi="Times New Roman" w:eastAsia="宋体" w:cs="Times New Roman"/>
                      <w:szCs w:val="21"/>
                    </w:rPr>
                  </w:pPr>
                </w:p>
              </w:tc>
            </w:tr>
          </w:tbl>
          <w:p>
            <w:pPr>
              <w:spacing w:before="120" w:beforeLines="50" w:line="360" w:lineRule="auto"/>
              <w:ind w:firstLine="482"/>
              <w:rPr>
                <w:rFonts w:ascii="Times New Roman" w:hAnsi="Times New Roman" w:eastAsia="宋体" w:cs="Times New Roman"/>
                <w:b/>
                <w:bCs/>
                <w:sz w:val="24"/>
                <w:szCs w:val="32"/>
              </w:rPr>
            </w:pPr>
            <w:r>
              <w:rPr>
                <w:rFonts w:hint="eastAsia" w:ascii="Times New Roman" w:hAnsi="Times New Roman" w:eastAsia="宋体" w:cs="Times New Roman"/>
                <w:b/>
                <w:bCs/>
                <w:sz w:val="24"/>
                <w:szCs w:val="24"/>
              </w:rPr>
              <w:t>4、</w:t>
            </w:r>
            <w:r>
              <w:rPr>
                <w:rFonts w:hint="eastAsia" w:ascii="Times New Roman" w:hAnsi="Times New Roman" w:eastAsia="宋体" w:cs="Times New Roman"/>
                <w:b/>
                <w:bCs/>
                <w:sz w:val="24"/>
                <w:szCs w:val="32"/>
              </w:rPr>
              <w:t>主要原辅材料及燃料的种类和用量</w:t>
            </w:r>
          </w:p>
          <w:p>
            <w:pPr>
              <w:autoSpaceDE w:val="0"/>
              <w:autoSpaceDN w:val="0"/>
              <w:adjustRightInd w:val="0"/>
              <w:snapToGrid w:val="0"/>
              <w:spacing w:line="360" w:lineRule="auto"/>
              <w:ind w:firstLine="420" w:firstLineChars="200"/>
              <w:jc w:val="left"/>
              <w:rPr>
                <w:rFonts w:ascii="Times New Roman" w:hAnsi="Times New Roman" w:eastAsia="宋体" w:cs="Times New Roman"/>
                <w:szCs w:val="21"/>
              </w:rPr>
            </w:pPr>
            <w:r>
              <w:rPr>
                <w:rFonts w:ascii="Times New Roman" w:hAnsi="Times New Roman" w:eastAsia="宋体" w:cs="Times New Roman"/>
                <w:bCs/>
                <w:kern w:val="0"/>
                <w:szCs w:val="21"/>
              </w:rPr>
              <w:t>项目生产的主要原料为生活及食品类废塑料，主要来自秦皇岛及周边地区，</w:t>
            </w:r>
            <w:r>
              <w:rPr>
                <w:rFonts w:hint="eastAsia" w:ascii="Times New Roman" w:hAnsi="Times New Roman" w:eastAsia="宋体" w:cs="Times New Roman"/>
                <w:szCs w:val="21"/>
              </w:rPr>
              <w:t>本项目的原材料为国内采购的塑料，无进口原材料，不包括受到危险化学品、农药等污染的废弃塑料包装物、废弃一次性医疗用塑料制品等塑料类危险废物，以及氟塑料等特种工程塑料，不含卤素。本项目无清洗工序，所以不使用清洗剂。</w:t>
            </w:r>
          </w:p>
          <w:p>
            <w:pPr>
              <w:adjustRightInd w:val="0"/>
              <w:snapToGrid w:val="0"/>
              <w:spacing w:before="120" w:beforeLines="50"/>
              <w:ind w:firstLine="422"/>
              <w:jc w:val="center"/>
              <w:rPr>
                <w:rFonts w:ascii="宋体" w:hAnsi="宋体" w:eastAsia="宋体" w:cs="宋体"/>
                <w:bCs/>
                <w:szCs w:val="21"/>
              </w:rPr>
            </w:pPr>
            <w:r>
              <w:rPr>
                <w:rFonts w:hint="eastAsia" w:ascii="Times New Roman" w:hAnsi="Times New Roman" w:eastAsia="宋体" w:cs="Times New Roman"/>
                <w:b/>
                <w:bCs/>
                <w:szCs w:val="21"/>
              </w:rPr>
              <w:t>表 8原辅材料及能源消耗情况一览表</w:t>
            </w:r>
          </w:p>
          <w:tbl>
            <w:tblPr>
              <w:tblStyle w:val="1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3"/>
              <w:gridCol w:w="937"/>
              <w:gridCol w:w="1062"/>
              <w:gridCol w:w="1104"/>
              <w:gridCol w:w="1295"/>
              <w:gridCol w:w="27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3" w:hRule="atLeast"/>
                <w:tblHeader/>
                <w:jc w:val="center"/>
              </w:trPr>
              <w:tc>
                <w:tcPr>
                  <w:tcW w:w="534" w:type="pct"/>
                  <w:vAlign w:val="center"/>
                </w:tcPr>
                <w:p>
                  <w:pPr>
                    <w:jc w:val="center"/>
                    <w:rPr>
                      <w:rFonts w:ascii="Times New Roman" w:hAnsi="Times New Roman" w:eastAsia="宋体" w:cs="Times New Roman"/>
                      <w:bCs/>
                      <w:szCs w:val="21"/>
                    </w:rPr>
                  </w:pPr>
                  <w:r>
                    <w:rPr>
                      <w:rFonts w:ascii="Times New Roman" w:hAnsi="宋体" w:eastAsia="宋体" w:cs="Times New Roman"/>
                      <w:bCs/>
                      <w:szCs w:val="21"/>
                    </w:rPr>
                    <w:t>类别</w:t>
                  </w:r>
                </w:p>
              </w:tc>
              <w:tc>
                <w:tcPr>
                  <w:tcW w:w="587" w:type="pct"/>
                  <w:vAlign w:val="center"/>
                </w:tcPr>
                <w:p>
                  <w:pPr>
                    <w:jc w:val="center"/>
                    <w:rPr>
                      <w:rFonts w:ascii="Times New Roman" w:hAnsi="Times New Roman" w:eastAsia="宋体" w:cs="Times New Roman"/>
                      <w:bCs/>
                      <w:szCs w:val="21"/>
                    </w:rPr>
                  </w:pPr>
                  <w:r>
                    <w:rPr>
                      <w:rFonts w:ascii="Times New Roman" w:hAnsi="宋体" w:eastAsia="宋体" w:cs="Times New Roman"/>
                      <w:bCs/>
                      <w:szCs w:val="21"/>
                    </w:rPr>
                    <w:t>名称</w:t>
                  </w:r>
                </w:p>
              </w:tc>
              <w:tc>
                <w:tcPr>
                  <w:tcW w:w="665" w:type="pct"/>
                  <w:vAlign w:val="center"/>
                </w:tcPr>
                <w:p>
                  <w:pPr>
                    <w:jc w:val="center"/>
                    <w:rPr>
                      <w:rFonts w:ascii="Times New Roman" w:hAnsi="宋体" w:eastAsia="宋体" w:cs="Times New Roman"/>
                      <w:bCs/>
                      <w:szCs w:val="21"/>
                    </w:rPr>
                  </w:pPr>
                  <w:r>
                    <w:rPr>
                      <w:rFonts w:ascii="Times New Roman" w:hAnsi="宋体" w:eastAsia="宋体" w:cs="Times New Roman"/>
                      <w:bCs/>
                      <w:szCs w:val="21"/>
                    </w:rPr>
                    <w:t>用量</w:t>
                  </w:r>
                </w:p>
              </w:tc>
              <w:tc>
                <w:tcPr>
                  <w:tcW w:w="691" w:type="pct"/>
                  <w:vAlign w:val="center"/>
                </w:tcPr>
                <w:p>
                  <w:pPr>
                    <w:jc w:val="center"/>
                    <w:rPr>
                      <w:rFonts w:ascii="Times New Roman" w:hAnsi="Times New Roman" w:eastAsia="宋体" w:cs="Times New Roman"/>
                      <w:bCs/>
                      <w:szCs w:val="21"/>
                    </w:rPr>
                  </w:pPr>
                  <w:r>
                    <w:rPr>
                      <w:rFonts w:ascii="Times New Roman" w:hAnsi="宋体" w:eastAsia="宋体" w:cs="Times New Roman"/>
                      <w:bCs/>
                      <w:szCs w:val="21"/>
                    </w:rPr>
                    <w:t>最大存储量</w:t>
                  </w:r>
                </w:p>
              </w:tc>
              <w:tc>
                <w:tcPr>
                  <w:tcW w:w="811" w:type="pct"/>
                  <w:vAlign w:val="center"/>
                </w:tcPr>
                <w:p>
                  <w:pPr>
                    <w:jc w:val="center"/>
                    <w:rPr>
                      <w:rFonts w:ascii="Times New Roman" w:hAnsi="Times New Roman" w:eastAsia="宋体" w:cs="Times New Roman"/>
                      <w:bCs/>
                      <w:szCs w:val="21"/>
                    </w:rPr>
                  </w:pPr>
                  <w:r>
                    <w:rPr>
                      <w:rFonts w:ascii="Times New Roman" w:hAnsi="宋体" w:eastAsia="宋体" w:cs="Times New Roman"/>
                      <w:bCs/>
                      <w:szCs w:val="21"/>
                    </w:rPr>
                    <w:t>存放位置</w:t>
                  </w:r>
                </w:p>
              </w:tc>
              <w:tc>
                <w:tcPr>
                  <w:tcW w:w="1713" w:type="pct"/>
                  <w:vAlign w:val="center"/>
                </w:tcPr>
                <w:p>
                  <w:pPr>
                    <w:jc w:val="center"/>
                    <w:rPr>
                      <w:rFonts w:ascii="Times New Roman" w:hAnsi="Times New Roman" w:eastAsia="宋体" w:cs="Times New Roman"/>
                      <w:bCs/>
                      <w:szCs w:val="21"/>
                    </w:rPr>
                  </w:pPr>
                  <w:r>
                    <w:rPr>
                      <w:rFonts w:ascii="Times New Roman" w:hAnsi="宋体" w:eastAsia="宋体" w:cs="Times New Roman"/>
                      <w:bCs/>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33" w:type="pct"/>
                  <w:vMerge w:val="restart"/>
                  <w:vAlign w:val="center"/>
                </w:tcPr>
                <w:p>
                  <w:pPr>
                    <w:jc w:val="center"/>
                    <w:rPr>
                      <w:rFonts w:ascii="Times New Roman" w:hAnsi="Times New Roman" w:eastAsia="宋体" w:cs="Times New Roman"/>
                      <w:bCs/>
                      <w:szCs w:val="21"/>
                    </w:rPr>
                  </w:pPr>
                  <w:r>
                    <w:rPr>
                      <w:rFonts w:ascii="Times New Roman" w:hAnsi="宋体" w:eastAsia="宋体" w:cs="Times New Roman"/>
                      <w:bCs/>
                      <w:szCs w:val="21"/>
                    </w:rPr>
                    <w:t>原辅材料</w:t>
                  </w:r>
                </w:p>
              </w:tc>
              <w:tc>
                <w:tcPr>
                  <w:tcW w:w="587" w:type="pct"/>
                  <w:vAlign w:val="center"/>
                </w:tcPr>
                <w:p>
                  <w:pPr>
                    <w:jc w:val="center"/>
                    <w:rPr>
                      <w:rFonts w:ascii="Times New Roman" w:hAnsi="Times New Roman" w:eastAsia="宋体" w:cs="Times New Roman"/>
                      <w:bCs/>
                      <w:szCs w:val="21"/>
                    </w:rPr>
                  </w:pPr>
                  <w:r>
                    <w:rPr>
                      <w:rFonts w:ascii="Times New Roman" w:hAnsi="宋体" w:eastAsia="宋体" w:cs="Times New Roman"/>
                      <w:bCs/>
                      <w:szCs w:val="21"/>
                    </w:rPr>
                    <w:t>废塑料</w:t>
                  </w:r>
                </w:p>
              </w:tc>
              <w:tc>
                <w:tcPr>
                  <w:tcW w:w="665" w:type="pct"/>
                  <w:vAlign w:val="center"/>
                </w:tcPr>
                <w:p>
                  <w:pPr>
                    <w:jc w:val="center"/>
                    <w:rPr>
                      <w:rFonts w:ascii="Times New Roman" w:hAnsi="Times New Roman" w:eastAsia="宋体" w:cs="Times New Roman"/>
                      <w:bCs/>
                      <w:szCs w:val="21"/>
                    </w:rPr>
                  </w:pPr>
                  <w:r>
                    <w:rPr>
                      <w:rFonts w:hint="eastAsia" w:ascii="Times New Roman" w:hAnsi="Times New Roman" w:eastAsia="宋体" w:cs="Times New Roman"/>
                      <w:bCs/>
                      <w:szCs w:val="21"/>
                    </w:rPr>
                    <w:t>30000</w:t>
                  </w:r>
                  <w:r>
                    <w:rPr>
                      <w:rFonts w:ascii="Times New Roman" w:hAnsi="Times New Roman" w:eastAsia="宋体" w:cs="Times New Roman"/>
                      <w:bCs/>
                      <w:szCs w:val="21"/>
                    </w:rPr>
                    <w:t>t/a</w:t>
                  </w:r>
                </w:p>
              </w:tc>
              <w:tc>
                <w:tcPr>
                  <w:tcW w:w="691" w:type="pct"/>
                  <w:vAlign w:val="center"/>
                </w:tcPr>
                <w:p>
                  <w:pPr>
                    <w:jc w:val="center"/>
                    <w:rPr>
                      <w:rFonts w:ascii="Times New Roman" w:hAnsi="Times New Roman" w:eastAsia="宋体" w:cs="Times New Roman"/>
                      <w:bCs/>
                      <w:szCs w:val="21"/>
                    </w:rPr>
                  </w:pPr>
                  <w:r>
                    <w:rPr>
                      <w:rFonts w:hint="eastAsia" w:ascii="Times New Roman" w:hAnsi="Times New Roman" w:eastAsia="宋体" w:cs="Times New Roman"/>
                      <w:bCs/>
                      <w:szCs w:val="21"/>
                    </w:rPr>
                    <w:t>10</w:t>
                  </w:r>
                  <w:r>
                    <w:rPr>
                      <w:rFonts w:ascii="Times New Roman" w:hAnsi="Times New Roman" w:eastAsia="宋体" w:cs="Times New Roman"/>
                      <w:bCs/>
                      <w:szCs w:val="21"/>
                    </w:rPr>
                    <w:t>00t/a</w:t>
                  </w:r>
                </w:p>
              </w:tc>
              <w:tc>
                <w:tcPr>
                  <w:tcW w:w="811" w:type="pct"/>
                  <w:vAlign w:val="center"/>
                </w:tcPr>
                <w:p>
                  <w:pPr>
                    <w:jc w:val="center"/>
                    <w:rPr>
                      <w:rFonts w:ascii="Times New Roman" w:hAnsi="Times New Roman" w:eastAsia="宋体" w:cs="Times New Roman"/>
                      <w:bCs/>
                      <w:szCs w:val="21"/>
                    </w:rPr>
                  </w:pPr>
                  <w:r>
                    <w:rPr>
                      <w:rFonts w:ascii="Times New Roman" w:hAnsi="宋体" w:eastAsia="宋体" w:cs="Times New Roman"/>
                      <w:bCs/>
                      <w:szCs w:val="21"/>
                    </w:rPr>
                    <w:t>原料仓库</w:t>
                  </w:r>
                </w:p>
              </w:tc>
              <w:tc>
                <w:tcPr>
                  <w:tcW w:w="1713" w:type="pct"/>
                  <w:vAlign w:val="center"/>
                </w:tcPr>
                <w:p>
                  <w:pPr>
                    <w:jc w:val="center"/>
                    <w:rPr>
                      <w:rFonts w:ascii="Times New Roman" w:hAnsi="Times New Roman" w:eastAsia="宋体" w:cs="Times New Roman"/>
                      <w:bCs/>
                      <w:szCs w:val="21"/>
                    </w:rPr>
                  </w:pPr>
                  <w:r>
                    <w:rPr>
                      <w:rFonts w:hint="eastAsia" w:ascii="Times New Roman" w:hAnsi="Times New Roman" w:eastAsia="宋体" w:cs="Times New Roman"/>
                      <w:bCs/>
                      <w:szCs w:val="21"/>
                    </w:rPr>
                    <w:t>主要为矿泉水、饮料瓶，含少量油壶、门窗、装修板等其他生活及食品类废塑料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34" w:type="pct"/>
                  <w:vMerge w:val="continue"/>
                  <w:vAlign w:val="center"/>
                </w:tcPr>
                <w:p>
                  <w:pPr>
                    <w:jc w:val="center"/>
                    <w:rPr>
                      <w:rFonts w:ascii="Times New Roman" w:hAnsi="Times New Roman" w:eastAsia="宋体" w:cs="Times New Roman"/>
                      <w:bCs/>
                      <w:szCs w:val="21"/>
                    </w:rPr>
                  </w:pPr>
                </w:p>
              </w:tc>
              <w:tc>
                <w:tcPr>
                  <w:tcW w:w="587" w:type="pct"/>
                  <w:vAlign w:val="center"/>
                </w:tcPr>
                <w:p>
                  <w:pPr>
                    <w:jc w:val="center"/>
                    <w:rPr>
                      <w:rFonts w:ascii="Times New Roman" w:hAnsi="Times New Roman" w:eastAsia="宋体" w:cs="Times New Roman"/>
                      <w:bCs/>
                      <w:szCs w:val="21"/>
                    </w:rPr>
                  </w:pPr>
                  <w:r>
                    <w:rPr>
                      <w:rFonts w:ascii="Times New Roman" w:hAnsi="宋体" w:eastAsia="宋体" w:cs="Times New Roman"/>
                      <w:bCs/>
                      <w:szCs w:val="21"/>
                    </w:rPr>
                    <w:t>机油</w:t>
                  </w:r>
                </w:p>
              </w:tc>
              <w:tc>
                <w:tcPr>
                  <w:tcW w:w="665" w:type="pct"/>
                  <w:vAlign w:val="center"/>
                </w:tcPr>
                <w:p>
                  <w:pPr>
                    <w:jc w:val="center"/>
                    <w:rPr>
                      <w:rFonts w:ascii="Times New Roman" w:hAnsi="Times New Roman" w:eastAsia="宋体" w:cs="Times New Roman"/>
                      <w:bCs/>
                      <w:szCs w:val="21"/>
                    </w:rPr>
                  </w:pPr>
                  <w:r>
                    <w:rPr>
                      <w:rFonts w:ascii="Times New Roman" w:hAnsi="Times New Roman" w:eastAsia="宋体" w:cs="Times New Roman"/>
                      <w:bCs/>
                      <w:szCs w:val="21"/>
                    </w:rPr>
                    <w:t>0.</w:t>
                  </w:r>
                  <w:r>
                    <w:rPr>
                      <w:rFonts w:hint="eastAsia" w:ascii="Times New Roman" w:hAnsi="Times New Roman" w:eastAsia="宋体" w:cs="Times New Roman"/>
                      <w:bCs/>
                      <w:szCs w:val="21"/>
                    </w:rPr>
                    <w:t>1</w:t>
                  </w:r>
                  <w:r>
                    <w:rPr>
                      <w:rFonts w:ascii="Times New Roman" w:hAnsi="Times New Roman" w:eastAsia="宋体" w:cs="Times New Roman"/>
                      <w:bCs/>
                      <w:szCs w:val="21"/>
                    </w:rPr>
                    <w:t>t/a</w:t>
                  </w:r>
                </w:p>
              </w:tc>
              <w:tc>
                <w:tcPr>
                  <w:tcW w:w="1501" w:type="pct"/>
                  <w:gridSpan w:val="2"/>
                  <w:vAlign w:val="center"/>
                </w:tcPr>
                <w:p>
                  <w:pPr>
                    <w:jc w:val="center"/>
                    <w:rPr>
                      <w:rFonts w:ascii="Times New Roman" w:hAnsi="Times New Roman" w:eastAsia="宋体" w:cs="Times New Roman"/>
                      <w:bCs/>
                      <w:szCs w:val="21"/>
                    </w:rPr>
                  </w:pPr>
                  <w:r>
                    <w:rPr>
                      <w:rFonts w:ascii="Times New Roman" w:hAnsi="宋体" w:eastAsia="宋体" w:cs="Times New Roman"/>
                      <w:bCs/>
                      <w:szCs w:val="21"/>
                    </w:rPr>
                    <w:t>不长时间储存，随用随购</w:t>
                  </w:r>
                </w:p>
              </w:tc>
              <w:tc>
                <w:tcPr>
                  <w:tcW w:w="1713" w:type="pct"/>
                  <w:vAlign w:val="center"/>
                </w:tcPr>
                <w:p>
                  <w:pPr>
                    <w:jc w:val="center"/>
                    <w:rPr>
                      <w:rFonts w:ascii="Times New Roman" w:hAnsi="Times New Roman" w:eastAsia="宋体" w:cs="Times New Roman"/>
                      <w:bCs/>
                      <w:szCs w:val="21"/>
                    </w:rPr>
                  </w:pPr>
                  <w:r>
                    <w:rPr>
                      <w:rFonts w:ascii="Times New Roman" w:hAnsi="宋体" w:eastAsia="宋体" w:cs="Times New Roman"/>
                      <w:bCs/>
                      <w:szCs w:val="21"/>
                    </w:rPr>
                    <w:t>用于机械设备保养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34" w:type="pct"/>
                  <w:vMerge w:val="continue"/>
                  <w:vAlign w:val="center"/>
                </w:tcPr>
                <w:p>
                  <w:pPr>
                    <w:jc w:val="center"/>
                    <w:rPr>
                      <w:rFonts w:ascii="Times New Roman" w:hAnsi="Times New Roman" w:eastAsia="宋体" w:cs="Times New Roman"/>
                      <w:bCs/>
                      <w:szCs w:val="21"/>
                    </w:rPr>
                  </w:pPr>
                </w:p>
              </w:tc>
              <w:tc>
                <w:tcPr>
                  <w:tcW w:w="587" w:type="pct"/>
                  <w:vAlign w:val="center"/>
                </w:tcPr>
                <w:p>
                  <w:pPr>
                    <w:jc w:val="center"/>
                    <w:rPr>
                      <w:rFonts w:ascii="Times New Roman" w:hAnsi="宋体" w:eastAsia="宋体" w:cs="Times New Roman"/>
                      <w:bCs/>
                      <w:szCs w:val="21"/>
                    </w:rPr>
                  </w:pPr>
                  <w:r>
                    <w:rPr>
                      <w:rFonts w:hint="eastAsia" w:ascii="Times New Roman" w:hAnsi="宋体" w:eastAsia="宋体" w:cs="Times New Roman"/>
                      <w:bCs/>
                      <w:szCs w:val="21"/>
                    </w:rPr>
                    <w:t>PAC</w:t>
                  </w:r>
                </w:p>
              </w:tc>
              <w:tc>
                <w:tcPr>
                  <w:tcW w:w="665" w:type="pct"/>
                  <w:vAlign w:val="center"/>
                </w:tcPr>
                <w:p>
                  <w:pPr>
                    <w:jc w:val="center"/>
                    <w:rPr>
                      <w:rFonts w:ascii="Times New Roman" w:hAnsi="Times New Roman" w:eastAsia="宋体" w:cs="Times New Roman"/>
                      <w:bCs/>
                      <w:szCs w:val="21"/>
                    </w:rPr>
                  </w:pPr>
                  <w:r>
                    <w:rPr>
                      <w:rFonts w:hint="eastAsia" w:ascii="Times New Roman" w:hAnsi="Times New Roman" w:eastAsia="宋体" w:cs="Times New Roman"/>
                      <w:bCs/>
                      <w:szCs w:val="21"/>
                    </w:rPr>
                    <w:t>1</w:t>
                  </w:r>
                </w:p>
              </w:tc>
              <w:tc>
                <w:tcPr>
                  <w:tcW w:w="691" w:type="pct"/>
                  <w:vAlign w:val="center"/>
                </w:tcPr>
                <w:p>
                  <w:pPr>
                    <w:jc w:val="center"/>
                    <w:rPr>
                      <w:rFonts w:ascii="Times New Roman" w:hAnsi="Times New Roman" w:eastAsia="宋体" w:cs="Times New Roman"/>
                      <w:bCs/>
                      <w:szCs w:val="21"/>
                    </w:rPr>
                  </w:pPr>
                  <w:r>
                    <w:rPr>
                      <w:rFonts w:hint="eastAsia" w:ascii="Times New Roman" w:hAnsi="Times New Roman" w:eastAsia="宋体" w:cs="Times New Roman"/>
                      <w:bCs/>
                      <w:szCs w:val="21"/>
                    </w:rPr>
                    <w:t>1t</w:t>
                  </w:r>
                </w:p>
              </w:tc>
              <w:tc>
                <w:tcPr>
                  <w:tcW w:w="811" w:type="pct"/>
                  <w:vAlign w:val="center"/>
                </w:tcPr>
                <w:p>
                  <w:pPr>
                    <w:jc w:val="center"/>
                    <w:rPr>
                      <w:rFonts w:ascii="Times New Roman" w:hAnsi="宋体" w:eastAsia="宋体" w:cs="Times New Roman"/>
                      <w:bCs/>
                      <w:szCs w:val="21"/>
                    </w:rPr>
                  </w:pPr>
                  <w:r>
                    <w:rPr>
                      <w:rFonts w:ascii="Times New Roman" w:hAnsi="宋体" w:eastAsia="宋体" w:cs="Times New Roman"/>
                      <w:bCs/>
                      <w:szCs w:val="21"/>
                    </w:rPr>
                    <w:t>原料仓库</w:t>
                  </w:r>
                </w:p>
              </w:tc>
              <w:tc>
                <w:tcPr>
                  <w:tcW w:w="1713" w:type="pct"/>
                  <w:vAlign w:val="center"/>
                </w:tcPr>
                <w:p>
                  <w:pPr>
                    <w:jc w:val="center"/>
                    <w:rPr>
                      <w:rFonts w:ascii="Times New Roman" w:hAnsi="宋体" w:eastAsia="宋体" w:cs="Times New Roman"/>
                      <w:bCs/>
                      <w:szCs w:val="21"/>
                    </w:rPr>
                  </w:pPr>
                  <w:r>
                    <w:rPr>
                      <w:rFonts w:ascii="Times New Roman" w:hAnsi="宋体" w:eastAsia="宋体" w:cs="Times New Roman"/>
                      <w:bCs/>
                      <w:szCs w:val="21"/>
                    </w:rPr>
                    <w:t>用于污水处理系统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34" w:type="pct"/>
                  <w:vMerge w:val="continue"/>
                  <w:vAlign w:val="center"/>
                </w:tcPr>
                <w:p>
                  <w:pPr>
                    <w:jc w:val="center"/>
                    <w:rPr>
                      <w:rFonts w:ascii="Times New Roman" w:hAnsi="Times New Roman" w:eastAsia="宋体" w:cs="Times New Roman"/>
                      <w:bCs/>
                      <w:szCs w:val="21"/>
                    </w:rPr>
                  </w:pPr>
                </w:p>
              </w:tc>
              <w:tc>
                <w:tcPr>
                  <w:tcW w:w="587" w:type="pct"/>
                  <w:vAlign w:val="center"/>
                </w:tcPr>
                <w:p>
                  <w:pPr>
                    <w:jc w:val="center"/>
                    <w:rPr>
                      <w:rFonts w:ascii="Times New Roman" w:hAnsi="宋体" w:eastAsia="宋体" w:cs="Times New Roman"/>
                      <w:bCs/>
                      <w:szCs w:val="21"/>
                    </w:rPr>
                  </w:pPr>
                  <w:r>
                    <w:rPr>
                      <w:rFonts w:hint="eastAsia" w:ascii="Times New Roman" w:hAnsi="宋体" w:eastAsia="宋体" w:cs="Times New Roman"/>
                      <w:bCs/>
                      <w:szCs w:val="21"/>
                    </w:rPr>
                    <w:t>PAM</w:t>
                  </w:r>
                </w:p>
              </w:tc>
              <w:tc>
                <w:tcPr>
                  <w:tcW w:w="665" w:type="pct"/>
                  <w:vAlign w:val="center"/>
                </w:tcPr>
                <w:p>
                  <w:pPr>
                    <w:jc w:val="center"/>
                    <w:rPr>
                      <w:rFonts w:ascii="Times New Roman" w:hAnsi="Times New Roman" w:eastAsia="宋体" w:cs="Times New Roman"/>
                      <w:bCs/>
                      <w:szCs w:val="21"/>
                    </w:rPr>
                  </w:pPr>
                  <w:r>
                    <w:rPr>
                      <w:rFonts w:hint="eastAsia" w:ascii="Times New Roman" w:hAnsi="Times New Roman" w:eastAsia="宋体" w:cs="Times New Roman"/>
                      <w:bCs/>
                      <w:szCs w:val="21"/>
                    </w:rPr>
                    <w:t>0.1</w:t>
                  </w:r>
                </w:p>
              </w:tc>
              <w:tc>
                <w:tcPr>
                  <w:tcW w:w="691" w:type="pct"/>
                  <w:vAlign w:val="center"/>
                </w:tcPr>
                <w:p>
                  <w:pPr>
                    <w:jc w:val="center"/>
                    <w:rPr>
                      <w:rFonts w:ascii="Times New Roman" w:hAnsi="Times New Roman" w:eastAsia="宋体" w:cs="Times New Roman"/>
                      <w:bCs/>
                      <w:szCs w:val="21"/>
                    </w:rPr>
                  </w:pPr>
                  <w:r>
                    <w:rPr>
                      <w:rFonts w:hint="eastAsia" w:ascii="Times New Roman" w:hAnsi="Times New Roman" w:eastAsia="宋体" w:cs="Times New Roman"/>
                      <w:bCs/>
                      <w:szCs w:val="21"/>
                    </w:rPr>
                    <w:t>0.1t</w:t>
                  </w:r>
                </w:p>
              </w:tc>
              <w:tc>
                <w:tcPr>
                  <w:tcW w:w="811" w:type="pct"/>
                  <w:vAlign w:val="center"/>
                </w:tcPr>
                <w:p>
                  <w:pPr>
                    <w:jc w:val="center"/>
                    <w:rPr>
                      <w:rFonts w:ascii="Times New Roman" w:hAnsi="宋体" w:eastAsia="宋体" w:cs="Times New Roman"/>
                      <w:bCs/>
                      <w:szCs w:val="21"/>
                    </w:rPr>
                  </w:pPr>
                  <w:r>
                    <w:rPr>
                      <w:rFonts w:ascii="Times New Roman" w:hAnsi="宋体" w:eastAsia="宋体" w:cs="Times New Roman"/>
                      <w:bCs/>
                      <w:szCs w:val="21"/>
                    </w:rPr>
                    <w:t>原料仓库</w:t>
                  </w:r>
                </w:p>
              </w:tc>
              <w:tc>
                <w:tcPr>
                  <w:tcW w:w="1713" w:type="pct"/>
                  <w:vAlign w:val="center"/>
                </w:tcPr>
                <w:p>
                  <w:pPr>
                    <w:jc w:val="center"/>
                    <w:rPr>
                      <w:rFonts w:ascii="Times New Roman" w:hAnsi="宋体" w:eastAsia="宋体" w:cs="Times New Roman"/>
                      <w:bCs/>
                      <w:szCs w:val="21"/>
                    </w:rPr>
                  </w:pPr>
                  <w:r>
                    <w:rPr>
                      <w:rFonts w:ascii="Times New Roman" w:hAnsi="宋体" w:eastAsia="宋体" w:cs="Times New Roman"/>
                      <w:bCs/>
                      <w:szCs w:val="21"/>
                    </w:rPr>
                    <w:t>用于污水处理系统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34" w:type="pct"/>
                  <w:vMerge w:val="continue"/>
                  <w:vAlign w:val="center"/>
                </w:tcPr>
                <w:p>
                  <w:pPr>
                    <w:jc w:val="center"/>
                    <w:rPr>
                      <w:rFonts w:ascii="Times New Roman" w:hAnsi="Times New Roman" w:eastAsia="宋体" w:cs="Times New Roman"/>
                      <w:bCs/>
                      <w:szCs w:val="21"/>
                    </w:rPr>
                  </w:pPr>
                </w:p>
              </w:tc>
              <w:tc>
                <w:tcPr>
                  <w:tcW w:w="587" w:type="pct"/>
                  <w:vAlign w:val="center"/>
                </w:tcPr>
                <w:p>
                  <w:pPr>
                    <w:jc w:val="center"/>
                    <w:rPr>
                      <w:rFonts w:ascii="Times New Roman" w:hAnsi="宋体" w:eastAsia="宋体" w:cs="Times New Roman"/>
                      <w:bCs/>
                      <w:szCs w:val="21"/>
                    </w:rPr>
                  </w:pPr>
                  <w:r>
                    <w:rPr>
                      <w:rFonts w:hint="eastAsia" w:ascii="Times New Roman" w:hAnsi="宋体" w:eastAsia="宋体" w:cs="Times New Roman"/>
                      <w:bCs/>
                      <w:szCs w:val="21"/>
                    </w:rPr>
                    <w:t>生物除臭剂</w:t>
                  </w:r>
                </w:p>
              </w:tc>
              <w:tc>
                <w:tcPr>
                  <w:tcW w:w="665" w:type="pct"/>
                  <w:vAlign w:val="center"/>
                </w:tcPr>
                <w:p>
                  <w:pPr>
                    <w:jc w:val="center"/>
                    <w:rPr>
                      <w:rFonts w:ascii="Times New Roman" w:hAnsi="Times New Roman" w:eastAsia="宋体" w:cs="Times New Roman"/>
                      <w:bCs/>
                      <w:szCs w:val="21"/>
                    </w:rPr>
                  </w:pPr>
                  <w:r>
                    <w:rPr>
                      <w:rFonts w:hint="eastAsia" w:ascii="Times New Roman" w:hAnsi="Times New Roman" w:eastAsia="宋体" w:cs="Times New Roman"/>
                      <w:bCs/>
                      <w:szCs w:val="21"/>
                    </w:rPr>
                    <w:t>50L</w:t>
                  </w:r>
                </w:p>
              </w:tc>
              <w:tc>
                <w:tcPr>
                  <w:tcW w:w="691" w:type="pct"/>
                  <w:vAlign w:val="center"/>
                </w:tcPr>
                <w:p>
                  <w:pPr>
                    <w:jc w:val="center"/>
                    <w:rPr>
                      <w:rFonts w:ascii="Times New Roman" w:hAnsi="Times New Roman" w:eastAsia="宋体" w:cs="Times New Roman"/>
                      <w:bCs/>
                      <w:szCs w:val="21"/>
                    </w:rPr>
                  </w:pPr>
                  <w:r>
                    <w:rPr>
                      <w:rFonts w:hint="eastAsia" w:ascii="Times New Roman" w:hAnsi="Times New Roman" w:eastAsia="宋体" w:cs="Times New Roman"/>
                      <w:bCs/>
                      <w:szCs w:val="21"/>
                    </w:rPr>
                    <w:t>1L</w:t>
                  </w:r>
                </w:p>
              </w:tc>
              <w:tc>
                <w:tcPr>
                  <w:tcW w:w="811" w:type="pct"/>
                  <w:vAlign w:val="center"/>
                </w:tcPr>
                <w:p>
                  <w:pPr>
                    <w:jc w:val="center"/>
                    <w:rPr>
                      <w:rFonts w:ascii="Times New Roman" w:hAnsi="宋体" w:eastAsia="宋体" w:cs="Times New Roman"/>
                      <w:bCs/>
                      <w:szCs w:val="21"/>
                    </w:rPr>
                  </w:pPr>
                  <w:r>
                    <w:rPr>
                      <w:rFonts w:hint="eastAsia" w:ascii="Times New Roman" w:hAnsi="宋体" w:eastAsia="宋体" w:cs="Times New Roman"/>
                      <w:bCs/>
                      <w:szCs w:val="21"/>
                    </w:rPr>
                    <w:t>/</w:t>
                  </w:r>
                </w:p>
              </w:tc>
              <w:tc>
                <w:tcPr>
                  <w:tcW w:w="1713" w:type="pct"/>
                  <w:vAlign w:val="center"/>
                </w:tcPr>
                <w:p>
                  <w:pPr>
                    <w:jc w:val="center"/>
                    <w:rPr>
                      <w:rFonts w:ascii="Times New Roman" w:hAnsi="宋体" w:eastAsia="宋体" w:cs="Times New Roman"/>
                      <w:bCs/>
                      <w:szCs w:val="21"/>
                    </w:rPr>
                  </w:pPr>
                  <w:r>
                    <w:rPr>
                      <w:rFonts w:ascii="Times New Roman" w:hAnsi="宋体" w:eastAsia="宋体" w:cs="Times New Roman"/>
                      <w:bCs/>
                      <w:szCs w:val="21"/>
                    </w:rPr>
                    <w:t>用于污水处理系统除臭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34" w:type="pct"/>
                  <w:vMerge w:val="continue"/>
                  <w:vAlign w:val="center"/>
                </w:tcPr>
                <w:p>
                  <w:pPr>
                    <w:jc w:val="center"/>
                    <w:rPr>
                      <w:rFonts w:ascii="Times New Roman" w:hAnsi="Times New Roman" w:eastAsia="宋体" w:cs="Times New Roman"/>
                      <w:bCs/>
                      <w:szCs w:val="21"/>
                    </w:rPr>
                  </w:pPr>
                </w:p>
              </w:tc>
              <w:tc>
                <w:tcPr>
                  <w:tcW w:w="587" w:type="pct"/>
                  <w:vAlign w:val="center"/>
                </w:tcPr>
                <w:p>
                  <w:pPr>
                    <w:jc w:val="center"/>
                    <w:rPr>
                      <w:rFonts w:ascii="Times New Roman" w:hAnsi="宋体" w:eastAsia="宋体" w:cs="Times New Roman"/>
                      <w:bCs/>
                      <w:szCs w:val="21"/>
                    </w:rPr>
                  </w:pPr>
                  <w:r>
                    <w:rPr>
                      <w:rFonts w:hint="eastAsia" w:ascii="Times New Roman" w:hAnsi="宋体" w:eastAsia="宋体" w:cs="Times New Roman"/>
                      <w:bCs/>
                      <w:szCs w:val="21"/>
                    </w:rPr>
                    <w:t>柴油</w:t>
                  </w:r>
                </w:p>
              </w:tc>
              <w:tc>
                <w:tcPr>
                  <w:tcW w:w="665" w:type="pct"/>
                  <w:vAlign w:val="center"/>
                </w:tcPr>
                <w:p>
                  <w:pPr>
                    <w:jc w:val="center"/>
                    <w:rPr>
                      <w:rFonts w:ascii="Times New Roman" w:hAnsi="Times New Roman" w:eastAsia="宋体" w:cs="Times New Roman"/>
                      <w:bCs/>
                      <w:szCs w:val="21"/>
                    </w:rPr>
                  </w:pPr>
                  <w:r>
                    <w:rPr>
                      <w:rFonts w:hint="eastAsia" w:ascii="Times New Roman" w:hAnsi="Times New Roman" w:eastAsia="宋体" w:cs="Times New Roman"/>
                      <w:bCs/>
                      <w:szCs w:val="21"/>
                    </w:rPr>
                    <w:t>0.2</w:t>
                  </w:r>
                </w:p>
              </w:tc>
              <w:tc>
                <w:tcPr>
                  <w:tcW w:w="691" w:type="pct"/>
                  <w:vAlign w:val="center"/>
                </w:tcPr>
                <w:p>
                  <w:pPr>
                    <w:jc w:val="center"/>
                    <w:rPr>
                      <w:rFonts w:ascii="Times New Roman" w:hAnsi="Times New Roman" w:eastAsia="宋体" w:cs="Times New Roman"/>
                      <w:bCs/>
                      <w:szCs w:val="21"/>
                    </w:rPr>
                  </w:pPr>
                  <w:r>
                    <w:rPr>
                      <w:rFonts w:hint="eastAsia" w:ascii="Times New Roman" w:hAnsi="Times New Roman" w:eastAsia="宋体" w:cs="Times New Roman"/>
                      <w:bCs/>
                      <w:szCs w:val="21"/>
                    </w:rPr>
                    <w:t>/</w:t>
                  </w:r>
                </w:p>
              </w:tc>
              <w:tc>
                <w:tcPr>
                  <w:tcW w:w="811" w:type="pct"/>
                  <w:vAlign w:val="center"/>
                </w:tcPr>
                <w:p>
                  <w:pPr>
                    <w:jc w:val="center"/>
                    <w:rPr>
                      <w:rFonts w:ascii="Times New Roman" w:hAnsi="宋体" w:eastAsia="宋体" w:cs="Times New Roman"/>
                      <w:bCs/>
                      <w:szCs w:val="21"/>
                    </w:rPr>
                  </w:pPr>
                  <w:r>
                    <w:rPr>
                      <w:rFonts w:ascii="Times New Roman" w:hAnsi="宋体" w:eastAsia="宋体" w:cs="Times New Roman"/>
                      <w:bCs/>
                      <w:szCs w:val="21"/>
                    </w:rPr>
                    <w:t>不暂存</w:t>
                  </w:r>
                </w:p>
              </w:tc>
              <w:tc>
                <w:tcPr>
                  <w:tcW w:w="1713" w:type="pct"/>
                  <w:vAlign w:val="center"/>
                </w:tcPr>
                <w:p>
                  <w:pPr>
                    <w:jc w:val="center"/>
                    <w:rPr>
                      <w:rFonts w:ascii="Times New Roman" w:hAnsi="宋体" w:eastAsia="宋体" w:cs="Times New Roman"/>
                      <w:bCs/>
                      <w:szCs w:val="21"/>
                    </w:rPr>
                  </w:pPr>
                  <w:r>
                    <w:rPr>
                      <w:rFonts w:ascii="Times New Roman" w:hAnsi="宋体" w:eastAsia="宋体" w:cs="Times New Roman"/>
                      <w:bCs/>
                      <w:szCs w:val="21"/>
                    </w:rPr>
                    <w:t>装载机使用，在加油站加油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34" w:type="pct"/>
                  <w:vMerge w:val="restart"/>
                  <w:vAlign w:val="center"/>
                </w:tcPr>
                <w:p>
                  <w:pPr>
                    <w:jc w:val="center"/>
                    <w:rPr>
                      <w:rFonts w:ascii="Times New Roman" w:hAnsi="Times New Roman" w:eastAsia="宋体" w:cs="Times New Roman"/>
                      <w:bCs/>
                      <w:szCs w:val="21"/>
                    </w:rPr>
                  </w:pPr>
                  <w:r>
                    <w:rPr>
                      <w:rFonts w:ascii="Times New Roman" w:hAnsi="Times New Roman" w:eastAsia="宋体" w:cs="Times New Roman"/>
                      <w:bCs/>
                      <w:szCs w:val="21"/>
                    </w:rPr>
                    <w:t>能源</w:t>
                  </w:r>
                </w:p>
              </w:tc>
              <w:tc>
                <w:tcPr>
                  <w:tcW w:w="587" w:type="pct"/>
                  <w:vAlign w:val="center"/>
                </w:tcPr>
                <w:p>
                  <w:pPr>
                    <w:jc w:val="center"/>
                    <w:rPr>
                      <w:rFonts w:ascii="Times New Roman" w:hAnsi="宋体" w:eastAsia="宋体" w:cs="Times New Roman"/>
                      <w:bCs/>
                      <w:szCs w:val="21"/>
                    </w:rPr>
                  </w:pPr>
                  <w:r>
                    <w:rPr>
                      <w:rFonts w:ascii="Times New Roman" w:hAnsi="宋体" w:eastAsia="宋体" w:cs="Times New Roman"/>
                      <w:bCs/>
                      <w:szCs w:val="21"/>
                    </w:rPr>
                    <w:t>水</w:t>
                  </w:r>
                </w:p>
              </w:tc>
              <w:tc>
                <w:tcPr>
                  <w:tcW w:w="665" w:type="pct"/>
                  <w:vAlign w:val="center"/>
                </w:tcPr>
                <w:p>
                  <w:pPr>
                    <w:jc w:val="center"/>
                    <w:rPr>
                      <w:rFonts w:ascii="Times New Roman" w:hAnsi="Times New Roman" w:eastAsia="宋体" w:cs="Times New Roman"/>
                      <w:bCs/>
                      <w:szCs w:val="21"/>
                    </w:rPr>
                  </w:pPr>
                  <w:r>
                    <w:rPr>
                      <w:rFonts w:hint="eastAsia" w:ascii="Times New Roman" w:hAnsi="Times New Roman" w:eastAsia="宋体" w:cs="Times New Roman"/>
                      <w:bCs/>
                      <w:szCs w:val="21"/>
                    </w:rPr>
                    <w:t>165t</w:t>
                  </w:r>
                </w:p>
              </w:tc>
              <w:tc>
                <w:tcPr>
                  <w:tcW w:w="691" w:type="pct"/>
                  <w:vAlign w:val="center"/>
                </w:tcPr>
                <w:p>
                  <w:pPr>
                    <w:jc w:val="center"/>
                    <w:rPr>
                      <w:rFonts w:ascii="Times New Roman" w:hAnsi="Times New Roman" w:eastAsia="宋体" w:cs="Times New Roman"/>
                      <w:bCs/>
                      <w:szCs w:val="21"/>
                    </w:rPr>
                  </w:pPr>
                  <w:r>
                    <w:rPr>
                      <w:rFonts w:hint="eastAsia" w:ascii="Times New Roman" w:hAnsi="Times New Roman" w:eastAsia="宋体" w:cs="Times New Roman"/>
                      <w:bCs/>
                      <w:szCs w:val="21"/>
                    </w:rPr>
                    <w:t>/</w:t>
                  </w:r>
                </w:p>
              </w:tc>
              <w:tc>
                <w:tcPr>
                  <w:tcW w:w="811" w:type="pct"/>
                  <w:vAlign w:val="center"/>
                </w:tcPr>
                <w:p>
                  <w:pPr>
                    <w:jc w:val="center"/>
                    <w:rPr>
                      <w:rFonts w:ascii="Times New Roman" w:hAnsi="宋体" w:eastAsia="宋体" w:cs="Times New Roman"/>
                      <w:bCs/>
                      <w:szCs w:val="21"/>
                    </w:rPr>
                  </w:pPr>
                  <w:r>
                    <w:rPr>
                      <w:rFonts w:hint="eastAsia" w:ascii="Times New Roman" w:hAnsi="宋体" w:eastAsia="宋体" w:cs="Times New Roman"/>
                      <w:bCs/>
                      <w:szCs w:val="21"/>
                    </w:rPr>
                    <w:t>/</w:t>
                  </w:r>
                </w:p>
              </w:tc>
              <w:tc>
                <w:tcPr>
                  <w:tcW w:w="1713" w:type="pct"/>
                  <w:vAlign w:val="center"/>
                </w:tcPr>
                <w:p>
                  <w:pPr>
                    <w:jc w:val="center"/>
                    <w:rPr>
                      <w:rFonts w:ascii="Times New Roman" w:hAnsi="宋体" w:eastAsia="宋体" w:cs="Times New Roman"/>
                      <w:bCs/>
                      <w:szCs w:val="21"/>
                    </w:rPr>
                  </w:pPr>
                  <w:r>
                    <w:rPr>
                      <w:rFonts w:ascii="Times New Roman" w:hAnsi="宋体" w:eastAsia="宋体" w:cs="Times New Roman"/>
                      <w:bCs/>
                      <w:szCs w:val="21"/>
                    </w:rPr>
                    <w:t>生产用水来自供水管网</w:t>
                  </w:r>
                  <w:r>
                    <w:rPr>
                      <w:rFonts w:hint="eastAsia" w:ascii="Times New Roman" w:hAnsi="Times New Roman" w:eastAsia="宋体" w:cs="Times New Roman"/>
                      <w:szCs w:val="21"/>
                    </w:rPr>
                    <w:t>，员工饮用水为外购桶装水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34" w:type="pct"/>
                  <w:vMerge w:val="continue"/>
                  <w:vAlign w:val="center"/>
                </w:tcPr>
                <w:p>
                  <w:pPr>
                    <w:jc w:val="center"/>
                    <w:rPr>
                      <w:rFonts w:ascii="Times New Roman" w:hAnsi="Times New Roman" w:eastAsia="宋体" w:cs="Times New Roman"/>
                      <w:bCs/>
                      <w:szCs w:val="21"/>
                    </w:rPr>
                  </w:pPr>
                </w:p>
              </w:tc>
              <w:tc>
                <w:tcPr>
                  <w:tcW w:w="587" w:type="pct"/>
                  <w:vAlign w:val="center"/>
                </w:tcPr>
                <w:p>
                  <w:pPr>
                    <w:jc w:val="center"/>
                    <w:rPr>
                      <w:rFonts w:ascii="Times New Roman" w:hAnsi="宋体" w:eastAsia="宋体" w:cs="Times New Roman"/>
                      <w:bCs/>
                      <w:szCs w:val="21"/>
                    </w:rPr>
                  </w:pPr>
                  <w:r>
                    <w:rPr>
                      <w:rFonts w:ascii="Times New Roman" w:hAnsi="宋体" w:eastAsia="宋体" w:cs="Times New Roman"/>
                      <w:bCs/>
                      <w:szCs w:val="21"/>
                    </w:rPr>
                    <w:t>电</w:t>
                  </w:r>
                </w:p>
              </w:tc>
              <w:tc>
                <w:tcPr>
                  <w:tcW w:w="665" w:type="pct"/>
                  <w:vAlign w:val="center"/>
                </w:tcPr>
                <w:p>
                  <w:pPr>
                    <w:jc w:val="center"/>
                    <w:rPr>
                      <w:rFonts w:ascii="Times New Roman" w:hAnsi="Times New Roman" w:eastAsia="宋体" w:cs="Times New Roman"/>
                      <w:bCs/>
                      <w:szCs w:val="21"/>
                    </w:rPr>
                  </w:pPr>
                  <w:r>
                    <w:rPr>
                      <w:rFonts w:hint="eastAsia" w:ascii="Times New Roman" w:hAnsi="Times New Roman" w:eastAsia="宋体" w:cs="Times New Roman"/>
                      <w:bCs/>
                      <w:szCs w:val="21"/>
                    </w:rPr>
                    <w:t>50万</w:t>
                  </w:r>
                  <w:r>
                    <w:rPr>
                      <w:rFonts w:hint="eastAsia" w:ascii="Times New Roman" w:hAnsi="Times New Roman" w:eastAsia="宋体" w:cs="Times New Roman"/>
                      <w:szCs w:val="24"/>
                    </w:rPr>
                    <w:t>K</w:t>
                  </w:r>
                  <w:r>
                    <w:rPr>
                      <w:rFonts w:ascii="Times New Roman" w:hAnsi="Times New Roman" w:eastAsia="宋体" w:cs="Times New Roman"/>
                      <w:szCs w:val="24"/>
                    </w:rPr>
                    <w:t>w</w:t>
                  </w:r>
                  <w:r>
                    <w:rPr>
                      <w:rFonts w:hint="eastAsia" w:ascii="Times New Roman" w:hAnsi="Times New Roman" w:eastAsia="宋体" w:cs="Times New Roman"/>
                      <w:szCs w:val="24"/>
                    </w:rPr>
                    <w:t>h</w:t>
                  </w:r>
                </w:p>
              </w:tc>
              <w:tc>
                <w:tcPr>
                  <w:tcW w:w="691" w:type="pct"/>
                  <w:vAlign w:val="center"/>
                </w:tcPr>
                <w:p>
                  <w:pPr>
                    <w:jc w:val="center"/>
                    <w:rPr>
                      <w:rFonts w:ascii="Times New Roman" w:hAnsi="Times New Roman" w:eastAsia="宋体" w:cs="Times New Roman"/>
                      <w:bCs/>
                      <w:szCs w:val="21"/>
                    </w:rPr>
                  </w:pPr>
                  <w:r>
                    <w:rPr>
                      <w:rFonts w:hint="eastAsia" w:ascii="Times New Roman" w:hAnsi="Times New Roman" w:eastAsia="宋体" w:cs="Times New Roman"/>
                      <w:bCs/>
                      <w:szCs w:val="21"/>
                    </w:rPr>
                    <w:t>/</w:t>
                  </w:r>
                </w:p>
              </w:tc>
              <w:tc>
                <w:tcPr>
                  <w:tcW w:w="811" w:type="pct"/>
                  <w:vAlign w:val="center"/>
                </w:tcPr>
                <w:p>
                  <w:pPr>
                    <w:jc w:val="center"/>
                    <w:rPr>
                      <w:rFonts w:ascii="Times New Roman" w:hAnsi="宋体" w:eastAsia="宋体" w:cs="Times New Roman"/>
                      <w:bCs/>
                      <w:szCs w:val="21"/>
                    </w:rPr>
                  </w:pPr>
                  <w:r>
                    <w:rPr>
                      <w:rFonts w:hint="eastAsia" w:ascii="Times New Roman" w:hAnsi="宋体" w:eastAsia="宋体" w:cs="Times New Roman"/>
                      <w:bCs/>
                      <w:szCs w:val="21"/>
                    </w:rPr>
                    <w:t>/</w:t>
                  </w:r>
                </w:p>
              </w:tc>
              <w:tc>
                <w:tcPr>
                  <w:tcW w:w="1713" w:type="pct"/>
                  <w:vAlign w:val="center"/>
                </w:tcPr>
                <w:p>
                  <w:pPr>
                    <w:jc w:val="center"/>
                    <w:rPr>
                      <w:rFonts w:ascii="Times New Roman" w:hAnsi="宋体" w:eastAsia="宋体" w:cs="Times New Roman"/>
                      <w:bCs/>
                      <w:szCs w:val="21"/>
                    </w:rPr>
                  </w:pPr>
                  <w:r>
                    <w:rPr>
                      <w:rFonts w:ascii="Times New Roman" w:hAnsi="宋体" w:eastAsia="宋体" w:cs="Times New Roman"/>
                      <w:bCs/>
                      <w:szCs w:val="21"/>
                    </w:rPr>
                    <w:t>市政供电</w:t>
                  </w:r>
                </w:p>
              </w:tc>
            </w:tr>
          </w:tbl>
          <w:p>
            <w:pPr>
              <w:adjustRightInd w:val="0"/>
              <w:snapToGrid w:val="0"/>
              <w:spacing w:line="360" w:lineRule="auto"/>
              <w:ind w:firstLine="440" w:firstLineChars="200"/>
              <w:jc w:val="left"/>
              <w:rPr>
                <w:rFonts w:ascii="Times New Roman" w:hAnsi="Times New Roman" w:eastAsia="宋体" w:cs="Times New Roman"/>
                <w:bCs/>
                <w:kern w:val="0"/>
                <w:szCs w:val="21"/>
              </w:rPr>
            </w:pPr>
            <w:r>
              <w:rPr>
                <w:rFonts w:hint="eastAsia" w:ascii="宋体" w:hAnsi="宋体" w:eastAsia="宋体" w:cs="宋体"/>
                <w:bCs/>
                <w:kern w:val="0"/>
                <w:sz w:val="22"/>
                <w:szCs w:val="21"/>
              </w:rPr>
              <w:t>原</w:t>
            </w:r>
            <w:r>
              <w:rPr>
                <w:rFonts w:hint="eastAsia" w:ascii="Times New Roman" w:hAnsi="Times New Roman" w:eastAsia="宋体" w:cs="Times New Roman"/>
                <w:bCs/>
                <w:kern w:val="0"/>
                <w:szCs w:val="21"/>
              </w:rPr>
              <w:t>辅材料理化性质如下：</w:t>
            </w:r>
          </w:p>
          <w:p>
            <w:pPr>
              <w:autoSpaceDE w:val="0"/>
              <w:autoSpaceDN w:val="0"/>
              <w:adjustRightInd w:val="0"/>
              <w:snapToGrid w:val="0"/>
              <w:spacing w:line="360" w:lineRule="auto"/>
              <w:ind w:firstLine="420" w:firstLineChars="200"/>
              <w:jc w:val="left"/>
              <w:rPr>
                <w:rFonts w:ascii="Times New Roman" w:hAnsi="Times New Roman" w:eastAsia="宋体" w:cs="Times New Roman"/>
                <w:szCs w:val="21"/>
              </w:rPr>
            </w:pPr>
            <w:r>
              <w:rPr>
                <w:rFonts w:hint="eastAsia" w:ascii="Times New Roman" w:hAnsi="Times New Roman" w:eastAsia="宋体" w:cs="Times New Roman"/>
                <w:szCs w:val="21"/>
              </w:rPr>
              <w:t>聚对苯二甲酸乙二醇酯（PET），是由对苯二甲酸二甲酯与乙二醇酯交换或以对苯二甲酸与乙二醇酯化先合成对苯二甲酸双羟乙酯，然后再进行缩聚反应制得。属结晶型饱和聚酯，为乳白色或浅黄色、高度结晶的聚合物，表面平滑有光泽，是生活中常见的一种树脂，可以分为APET、RPET和PETG。</w:t>
            </w:r>
          </w:p>
          <w:p>
            <w:pPr>
              <w:autoSpaceDE w:val="0"/>
              <w:autoSpaceDN w:val="0"/>
              <w:adjustRightInd w:val="0"/>
              <w:snapToGrid w:val="0"/>
              <w:spacing w:line="360" w:lineRule="auto"/>
              <w:ind w:firstLine="420" w:firstLineChars="200"/>
              <w:jc w:val="left"/>
              <w:rPr>
                <w:rFonts w:ascii="Times New Roman" w:hAnsi="Times New Roman" w:eastAsia="宋体" w:cs="Times New Roman"/>
                <w:szCs w:val="21"/>
              </w:rPr>
            </w:pPr>
            <w:r>
              <w:rPr>
                <w:rFonts w:hint="eastAsia" w:ascii="Times New Roman" w:hAnsi="Times New Roman" w:eastAsia="宋体" w:cs="Times New Roman"/>
                <w:szCs w:val="21"/>
              </w:rPr>
              <w:t>在较宽的温度范围内具有优良的物理机械性能，长期使用温度可达120℃，电绝缘性优良，甚至在高温高频下，其电性能仍较好，但耐电晕性较差，抗蠕变性，耐疲劳性，耐摩擦性、尺寸稳定性都很好。</w:t>
            </w:r>
          </w:p>
          <w:p>
            <w:pPr>
              <w:autoSpaceDE w:val="0"/>
              <w:autoSpaceDN w:val="0"/>
              <w:adjustRightInd w:val="0"/>
              <w:snapToGrid w:val="0"/>
              <w:spacing w:line="360" w:lineRule="auto"/>
              <w:ind w:firstLine="420" w:firstLineChars="200"/>
              <w:jc w:val="left"/>
              <w:rPr>
                <w:rFonts w:ascii="Times New Roman" w:hAnsi="Times New Roman" w:eastAsia="宋体" w:cs="Times New Roman"/>
                <w:szCs w:val="21"/>
              </w:rPr>
            </w:pPr>
            <w:r>
              <w:rPr>
                <w:rFonts w:hint="eastAsia" w:ascii="Times New Roman" w:hAnsi="Times New Roman" w:eastAsia="宋体" w:cs="Times New Roman"/>
                <w:szCs w:val="21"/>
              </w:rPr>
              <w:t>PAC：聚合氯化铝（PAC）是一种无机物，一种新兴净水材料、无机高分子混凝剂，简称聚铝。它是介于AlCI</w:t>
            </w:r>
            <w:r>
              <w:rPr>
                <w:rFonts w:hint="eastAsia" w:ascii="Times New Roman" w:hAnsi="Times New Roman" w:eastAsia="宋体" w:cs="Times New Roman"/>
                <w:szCs w:val="21"/>
                <w:vertAlign w:val="subscript"/>
              </w:rPr>
              <w:t>3</w:t>
            </w:r>
            <w:r>
              <w:rPr>
                <w:rFonts w:hint="eastAsia" w:ascii="Times New Roman" w:hAnsi="Times New Roman" w:eastAsia="宋体" w:cs="Times New Roman"/>
                <w:szCs w:val="21"/>
              </w:rPr>
              <w:t>和Al(OH)</w:t>
            </w:r>
            <w:r>
              <w:rPr>
                <w:rFonts w:hint="eastAsia" w:ascii="Times New Roman" w:hAnsi="Times New Roman" w:eastAsia="宋体" w:cs="Times New Roman"/>
                <w:szCs w:val="21"/>
                <w:vertAlign w:val="subscript"/>
              </w:rPr>
              <w:t>3</w:t>
            </w:r>
            <w:r>
              <w:rPr>
                <w:rFonts w:hint="eastAsia" w:ascii="Times New Roman" w:hAnsi="Times New Roman" w:eastAsia="宋体" w:cs="Times New Roman"/>
                <w:szCs w:val="21"/>
              </w:rPr>
              <w:t>之间的一种水溶性无机高分子聚合物，化学通式为[Al2(OH)nCl6-n]m，其中m代表聚合程度，n表示PAC产品的中性程度。n=1~5为具有Keggin结构的高电荷聚合环链体，对水中胶体和颗粒物具有高度电中和及桥联作用，并可强力去除微有毒物及重金属离子，性状稳定。检验方法可按国标GB 15892--2003标准检验。由于氢氧根离子的架桥作用和多价阴离子的聚合作用，生产出来的聚合氯化铝是相对分子质量较大、电荷较高的无机高分子水处理药剂。</w:t>
            </w:r>
          </w:p>
          <w:p>
            <w:pPr>
              <w:autoSpaceDE w:val="0"/>
              <w:autoSpaceDN w:val="0"/>
              <w:adjustRightInd w:val="0"/>
              <w:snapToGrid w:val="0"/>
              <w:spacing w:line="360" w:lineRule="auto"/>
              <w:ind w:firstLine="420" w:firstLineChars="200"/>
              <w:jc w:val="left"/>
              <w:rPr>
                <w:rFonts w:ascii="Times New Roman" w:hAnsi="Times New Roman" w:eastAsia="宋体" w:cs="Times New Roman"/>
                <w:szCs w:val="21"/>
              </w:rPr>
            </w:pPr>
            <w:r>
              <w:rPr>
                <w:rFonts w:hint="eastAsia" w:ascii="Times New Roman" w:hAnsi="Times New Roman" w:eastAsia="宋体" w:cs="Times New Roman"/>
                <w:szCs w:val="21"/>
              </w:rPr>
              <w:t>PAM：（PAM）聚丙烯酰胺是丙烯酰胺均聚物或与其他单体共聚的聚合物统称，（PAM）聚丙烯酰胺是水溶性高分子中应用最广泛的品种之一。（PAM）聚丙烯酰胺普遍应用于石油开采、造纸、水处理、纺织、医药、农业等行业。据统计，全球（PAM）聚丙烯酰胺的总产量中的37%用于废水处理，27%用于石油工业，18%用于造纸工业。</w:t>
            </w:r>
          </w:p>
          <w:p>
            <w:pPr>
              <w:autoSpaceDE w:val="0"/>
              <w:autoSpaceDN w:val="0"/>
              <w:adjustRightInd w:val="0"/>
              <w:snapToGrid w:val="0"/>
              <w:spacing w:line="360" w:lineRule="auto"/>
              <w:ind w:firstLine="420" w:firstLineChars="200"/>
              <w:jc w:val="left"/>
              <w:rPr>
                <w:rFonts w:ascii="Times New Roman" w:hAnsi="Times New Roman" w:eastAsia="宋体" w:cs="Times New Roman"/>
                <w:szCs w:val="21"/>
              </w:rPr>
            </w:pPr>
            <w:r>
              <w:rPr>
                <w:rFonts w:hint="eastAsia" w:ascii="Times New Roman" w:hAnsi="Times New Roman" w:eastAsia="宋体" w:cs="Times New Roman"/>
                <w:szCs w:val="21"/>
              </w:rPr>
              <w:t>本项目物料平衡见下表。</w:t>
            </w:r>
          </w:p>
          <w:p>
            <w:pPr>
              <w:autoSpaceDE w:val="0"/>
              <w:autoSpaceDN w:val="0"/>
              <w:adjustRightInd w:val="0"/>
              <w:snapToGrid w:val="0"/>
              <w:spacing w:before="120" w:beforeLines="50"/>
              <w:jc w:val="center"/>
              <w:rPr>
                <w:rFonts w:ascii="Times New Roman" w:hAnsi="Times New Roman" w:eastAsia="宋体" w:cs="Times New Roman"/>
                <w:b/>
                <w:szCs w:val="21"/>
              </w:rPr>
            </w:pPr>
            <w:r>
              <w:rPr>
                <w:rFonts w:hint="eastAsia" w:ascii="Times New Roman" w:hAnsi="Times New Roman" w:eastAsia="宋体" w:cs="Times New Roman"/>
                <w:b/>
                <w:szCs w:val="21"/>
              </w:rPr>
              <w:t>表9 本项目物料平衡一览表</w:t>
            </w: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278"/>
              <w:gridCol w:w="1278"/>
              <w:gridCol w:w="961"/>
              <w:gridCol w:w="2229"/>
              <w:gridCol w:w="12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2" w:type="pct"/>
                  <w:shd w:val="clear" w:color="auto" w:fill="auto"/>
                  <w:vAlign w:val="center"/>
                </w:tcPr>
                <w:p>
                  <w:pPr>
                    <w:autoSpaceDE w:val="0"/>
                    <w:autoSpaceDN w:val="0"/>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序号</w:t>
                  </w:r>
                </w:p>
              </w:tc>
              <w:tc>
                <w:tcPr>
                  <w:tcW w:w="1600" w:type="pct"/>
                  <w:gridSpan w:val="2"/>
                  <w:shd w:val="clear" w:color="auto" w:fill="auto"/>
                  <w:vAlign w:val="center"/>
                </w:tcPr>
                <w:p>
                  <w:pPr>
                    <w:autoSpaceDE w:val="0"/>
                    <w:autoSpaceDN w:val="0"/>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投入</w:t>
                  </w:r>
                </w:p>
              </w:tc>
              <w:tc>
                <w:tcPr>
                  <w:tcW w:w="602" w:type="pct"/>
                  <w:shd w:val="clear" w:color="auto" w:fill="auto"/>
                  <w:vAlign w:val="center"/>
                </w:tcPr>
                <w:p>
                  <w:pPr>
                    <w:autoSpaceDE w:val="0"/>
                    <w:autoSpaceDN w:val="0"/>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序号</w:t>
                  </w:r>
                </w:p>
              </w:tc>
              <w:tc>
                <w:tcPr>
                  <w:tcW w:w="2196" w:type="pct"/>
                  <w:gridSpan w:val="2"/>
                  <w:shd w:val="clear" w:color="auto" w:fill="auto"/>
                  <w:vAlign w:val="center"/>
                </w:tcPr>
                <w:p>
                  <w:pPr>
                    <w:autoSpaceDE w:val="0"/>
                    <w:autoSpaceDN w:val="0"/>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产出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2" w:type="pct"/>
                  <w:shd w:val="clear" w:color="auto" w:fill="auto"/>
                  <w:vAlign w:val="center"/>
                </w:tcPr>
                <w:p>
                  <w:pPr>
                    <w:autoSpaceDE w:val="0"/>
                    <w:autoSpaceDN w:val="0"/>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1</w:t>
                  </w:r>
                </w:p>
              </w:tc>
              <w:tc>
                <w:tcPr>
                  <w:tcW w:w="800" w:type="pct"/>
                  <w:shd w:val="clear" w:color="auto" w:fill="auto"/>
                  <w:vAlign w:val="center"/>
                </w:tcPr>
                <w:p>
                  <w:pPr>
                    <w:autoSpaceDE w:val="0"/>
                    <w:autoSpaceDN w:val="0"/>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废塑料</w:t>
                  </w:r>
                </w:p>
              </w:tc>
              <w:tc>
                <w:tcPr>
                  <w:tcW w:w="800" w:type="pct"/>
                  <w:shd w:val="clear" w:color="auto" w:fill="auto"/>
                  <w:vAlign w:val="center"/>
                </w:tcPr>
                <w:p>
                  <w:pPr>
                    <w:autoSpaceDE w:val="0"/>
                    <w:autoSpaceDN w:val="0"/>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30000t/a</w:t>
                  </w:r>
                </w:p>
              </w:tc>
              <w:tc>
                <w:tcPr>
                  <w:tcW w:w="602" w:type="pct"/>
                  <w:shd w:val="clear" w:color="auto" w:fill="auto"/>
                  <w:vAlign w:val="center"/>
                </w:tcPr>
                <w:p>
                  <w:pPr>
                    <w:autoSpaceDE w:val="0"/>
                    <w:autoSpaceDN w:val="0"/>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1</w:t>
                  </w:r>
                </w:p>
              </w:tc>
              <w:tc>
                <w:tcPr>
                  <w:tcW w:w="1396" w:type="pct"/>
                  <w:shd w:val="clear" w:color="auto" w:fill="auto"/>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塑料片</w:t>
                  </w:r>
                </w:p>
              </w:tc>
              <w:tc>
                <w:tcPr>
                  <w:tcW w:w="800" w:type="pct"/>
                  <w:shd w:val="clear" w:color="auto" w:fill="auto"/>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26000</w:t>
                  </w:r>
                  <w:r>
                    <w:rPr>
                      <w:rFonts w:hint="eastAsia" w:ascii="Times New Roman" w:hAnsi="Times New Roman" w:eastAsia="宋体" w:cs="Times New Roman"/>
                      <w:szCs w:val="21"/>
                    </w:rPr>
                    <w:t xml:space="preserve"> 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2" w:type="pct"/>
                  <w:shd w:val="clear" w:color="auto" w:fill="auto"/>
                  <w:vAlign w:val="center"/>
                </w:tcPr>
                <w:p>
                  <w:pPr>
                    <w:autoSpaceDE w:val="0"/>
                    <w:autoSpaceDN w:val="0"/>
                    <w:adjustRightInd w:val="0"/>
                    <w:snapToGrid w:val="0"/>
                    <w:jc w:val="center"/>
                    <w:rPr>
                      <w:rFonts w:ascii="Times New Roman" w:hAnsi="Times New Roman" w:eastAsia="宋体" w:cs="Times New Roman"/>
                      <w:szCs w:val="21"/>
                    </w:rPr>
                  </w:pPr>
                </w:p>
              </w:tc>
              <w:tc>
                <w:tcPr>
                  <w:tcW w:w="800" w:type="pct"/>
                  <w:shd w:val="clear" w:color="auto" w:fill="auto"/>
                  <w:vAlign w:val="center"/>
                </w:tcPr>
                <w:p>
                  <w:pPr>
                    <w:autoSpaceDE w:val="0"/>
                    <w:autoSpaceDN w:val="0"/>
                    <w:adjustRightInd w:val="0"/>
                    <w:snapToGrid w:val="0"/>
                    <w:jc w:val="center"/>
                    <w:rPr>
                      <w:rFonts w:ascii="Times New Roman" w:hAnsi="Times New Roman" w:eastAsia="宋体" w:cs="Times New Roman"/>
                      <w:szCs w:val="21"/>
                    </w:rPr>
                  </w:pPr>
                </w:p>
              </w:tc>
              <w:tc>
                <w:tcPr>
                  <w:tcW w:w="800" w:type="pct"/>
                  <w:shd w:val="clear" w:color="auto" w:fill="auto"/>
                  <w:vAlign w:val="center"/>
                </w:tcPr>
                <w:p>
                  <w:pPr>
                    <w:autoSpaceDE w:val="0"/>
                    <w:autoSpaceDN w:val="0"/>
                    <w:adjustRightInd w:val="0"/>
                    <w:snapToGrid w:val="0"/>
                    <w:jc w:val="center"/>
                    <w:rPr>
                      <w:rFonts w:ascii="Times New Roman" w:hAnsi="Times New Roman" w:eastAsia="宋体" w:cs="Times New Roman"/>
                      <w:szCs w:val="21"/>
                    </w:rPr>
                  </w:pPr>
                </w:p>
              </w:tc>
              <w:tc>
                <w:tcPr>
                  <w:tcW w:w="602" w:type="pct"/>
                  <w:shd w:val="clear" w:color="auto" w:fill="auto"/>
                  <w:vAlign w:val="center"/>
                </w:tcPr>
                <w:p>
                  <w:pPr>
                    <w:autoSpaceDE w:val="0"/>
                    <w:autoSpaceDN w:val="0"/>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2</w:t>
                  </w:r>
                </w:p>
              </w:tc>
              <w:tc>
                <w:tcPr>
                  <w:tcW w:w="1396" w:type="pct"/>
                  <w:shd w:val="clear" w:color="auto" w:fill="auto"/>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瓶盖</w:t>
                  </w:r>
                </w:p>
              </w:tc>
              <w:tc>
                <w:tcPr>
                  <w:tcW w:w="800" w:type="pct"/>
                  <w:shd w:val="clear" w:color="auto" w:fill="auto"/>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2200</w:t>
                  </w:r>
                  <w:r>
                    <w:rPr>
                      <w:rFonts w:hint="eastAsia" w:ascii="Times New Roman" w:hAnsi="Times New Roman" w:eastAsia="宋体" w:cs="Times New Roman"/>
                      <w:szCs w:val="21"/>
                    </w:rPr>
                    <w:t xml:space="preserve"> 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02" w:type="pct"/>
                  <w:shd w:val="clear" w:color="auto" w:fill="auto"/>
                  <w:vAlign w:val="center"/>
                </w:tcPr>
                <w:p>
                  <w:pPr>
                    <w:autoSpaceDE w:val="0"/>
                    <w:autoSpaceDN w:val="0"/>
                    <w:adjustRightInd w:val="0"/>
                    <w:snapToGrid w:val="0"/>
                    <w:jc w:val="center"/>
                    <w:rPr>
                      <w:rFonts w:ascii="Times New Roman" w:hAnsi="Times New Roman" w:eastAsia="宋体" w:cs="Times New Roman"/>
                      <w:szCs w:val="21"/>
                    </w:rPr>
                  </w:pPr>
                </w:p>
              </w:tc>
              <w:tc>
                <w:tcPr>
                  <w:tcW w:w="800" w:type="pct"/>
                  <w:shd w:val="clear" w:color="auto" w:fill="auto"/>
                  <w:vAlign w:val="center"/>
                </w:tcPr>
                <w:p>
                  <w:pPr>
                    <w:autoSpaceDE w:val="0"/>
                    <w:autoSpaceDN w:val="0"/>
                    <w:adjustRightInd w:val="0"/>
                    <w:snapToGrid w:val="0"/>
                    <w:jc w:val="center"/>
                    <w:rPr>
                      <w:rFonts w:ascii="Times New Roman" w:hAnsi="Times New Roman" w:eastAsia="宋体" w:cs="Times New Roman"/>
                      <w:szCs w:val="21"/>
                    </w:rPr>
                  </w:pPr>
                </w:p>
              </w:tc>
              <w:tc>
                <w:tcPr>
                  <w:tcW w:w="800" w:type="pct"/>
                  <w:shd w:val="clear" w:color="auto" w:fill="auto"/>
                  <w:vAlign w:val="center"/>
                </w:tcPr>
                <w:p>
                  <w:pPr>
                    <w:autoSpaceDE w:val="0"/>
                    <w:autoSpaceDN w:val="0"/>
                    <w:adjustRightInd w:val="0"/>
                    <w:snapToGrid w:val="0"/>
                    <w:jc w:val="center"/>
                    <w:rPr>
                      <w:rFonts w:ascii="Times New Roman" w:hAnsi="Times New Roman" w:eastAsia="宋体" w:cs="Times New Roman"/>
                      <w:szCs w:val="21"/>
                    </w:rPr>
                  </w:pPr>
                </w:p>
              </w:tc>
              <w:tc>
                <w:tcPr>
                  <w:tcW w:w="602" w:type="pct"/>
                  <w:shd w:val="clear" w:color="auto" w:fill="auto"/>
                  <w:vAlign w:val="center"/>
                </w:tcPr>
                <w:p>
                  <w:pPr>
                    <w:autoSpaceDE w:val="0"/>
                    <w:autoSpaceDN w:val="0"/>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3</w:t>
                  </w:r>
                </w:p>
              </w:tc>
              <w:tc>
                <w:tcPr>
                  <w:tcW w:w="1396" w:type="pct"/>
                  <w:shd w:val="clear" w:color="auto" w:fill="auto"/>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脱标胶纸</w:t>
                  </w:r>
                </w:p>
              </w:tc>
              <w:tc>
                <w:tcPr>
                  <w:tcW w:w="800" w:type="pct"/>
                  <w:shd w:val="clear" w:color="auto" w:fill="auto"/>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900</w:t>
                  </w:r>
                  <w:r>
                    <w:rPr>
                      <w:rFonts w:hint="eastAsia" w:ascii="Times New Roman" w:hAnsi="Times New Roman" w:eastAsia="宋体" w:cs="Times New Roman"/>
                      <w:szCs w:val="21"/>
                    </w:rPr>
                    <w:t xml:space="preserve"> 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2" w:type="pct"/>
                  <w:shd w:val="clear" w:color="auto" w:fill="auto"/>
                  <w:vAlign w:val="center"/>
                </w:tcPr>
                <w:p>
                  <w:pPr>
                    <w:autoSpaceDE w:val="0"/>
                    <w:autoSpaceDN w:val="0"/>
                    <w:adjustRightInd w:val="0"/>
                    <w:snapToGrid w:val="0"/>
                    <w:jc w:val="center"/>
                    <w:rPr>
                      <w:rFonts w:ascii="Times New Roman" w:hAnsi="Times New Roman" w:eastAsia="宋体" w:cs="Times New Roman"/>
                      <w:szCs w:val="21"/>
                    </w:rPr>
                  </w:pPr>
                </w:p>
              </w:tc>
              <w:tc>
                <w:tcPr>
                  <w:tcW w:w="800" w:type="pct"/>
                  <w:shd w:val="clear" w:color="auto" w:fill="auto"/>
                  <w:vAlign w:val="center"/>
                </w:tcPr>
                <w:p>
                  <w:pPr>
                    <w:autoSpaceDE w:val="0"/>
                    <w:autoSpaceDN w:val="0"/>
                    <w:adjustRightInd w:val="0"/>
                    <w:snapToGrid w:val="0"/>
                    <w:jc w:val="center"/>
                    <w:rPr>
                      <w:rFonts w:ascii="Times New Roman" w:hAnsi="Times New Roman" w:eastAsia="宋体" w:cs="Times New Roman"/>
                      <w:szCs w:val="21"/>
                    </w:rPr>
                  </w:pPr>
                </w:p>
              </w:tc>
              <w:tc>
                <w:tcPr>
                  <w:tcW w:w="800" w:type="pct"/>
                  <w:shd w:val="clear" w:color="auto" w:fill="auto"/>
                  <w:vAlign w:val="center"/>
                </w:tcPr>
                <w:p>
                  <w:pPr>
                    <w:autoSpaceDE w:val="0"/>
                    <w:autoSpaceDN w:val="0"/>
                    <w:adjustRightInd w:val="0"/>
                    <w:snapToGrid w:val="0"/>
                    <w:jc w:val="center"/>
                    <w:rPr>
                      <w:rFonts w:ascii="Times New Roman" w:hAnsi="Times New Roman" w:eastAsia="宋体" w:cs="Times New Roman"/>
                      <w:szCs w:val="21"/>
                    </w:rPr>
                  </w:pPr>
                </w:p>
              </w:tc>
              <w:tc>
                <w:tcPr>
                  <w:tcW w:w="602" w:type="pct"/>
                  <w:shd w:val="clear" w:color="auto" w:fill="auto"/>
                  <w:vAlign w:val="center"/>
                </w:tcPr>
                <w:p>
                  <w:pPr>
                    <w:autoSpaceDE w:val="0"/>
                    <w:autoSpaceDN w:val="0"/>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4</w:t>
                  </w:r>
                </w:p>
              </w:tc>
              <w:tc>
                <w:tcPr>
                  <w:tcW w:w="1396" w:type="pct"/>
                  <w:shd w:val="clear" w:color="auto" w:fill="auto"/>
                  <w:vAlign w:val="center"/>
                </w:tcPr>
                <w:p>
                  <w:pPr>
                    <w:autoSpaceDE w:val="0"/>
                    <w:autoSpaceDN w:val="0"/>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kern w:val="24"/>
                      <w:szCs w:val="21"/>
                    </w:rPr>
                    <w:t>絮凝沉淀物及油渣</w:t>
                  </w:r>
                </w:p>
              </w:tc>
              <w:tc>
                <w:tcPr>
                  <w:tcW w:w="800" w:type="pct"/>
                  <w:shd w:val="clear" w:color="auto" w:fill="auto"/>
                  <w:vAlign w:val="center"/>
                </w:tcPr>
                <w:p>
                  <w:pPr>
                    <w:autoSpaceDE w:val="0"/>
                    <w:autoSpaceDN w:val="0"/>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900 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pct"/>
                  <w:gridSpan w:val="2"/>
                  <w:shd w:val="clear" w:color="auto" w:fill="auto"/>
                  <w:vAlign w:val="center"/>
                </w:tcPr>
                <w:p>
                  <w:pPr>
                    <w:autoSpaceDE w:val="0"/>
                    <w:autoSpaceDN w:val="0"/>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合计</w:t>
                  </w:r>
                </w:p>
              </w:tc>
              <w:tc>
                <w:tcPr>
                  <w:tcW w:w="800" w:type="pct"/>
                  <w:shd w:val="clear" w:color="auto" w:fill="auto"/>
                  <w:vAlign w:val="center"/>
                </w:tcPr>
                <w:p>
                  <w:pPr>
                    <w:autoSpaceDE w:val="0"/>
                    <w:autoSpaceDN w:val="0"/>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30000t/a</w:t>
                  </w:r>
                </w:p>
              </w:tc>
              <w:tc>
                <w:tcPr>
                  <w:tcW w:w="1998" w:type="pct"/>
                  <w:gridSpan w:val="2"/>
                  <w:shd w:val="clear" w:color="auto" w:fill="auto"/>
                  <w:vAlign w:val="center"/>
                </w:tcPr>
                <w:p>
                  <w:pPr>
                    <w:autoSpaceDE w:val="0"/>
                    <w:autoSpaceDN w:val="0"/>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合计</w:t>
                  </w:r>
                </w:p>
              </w:tc>
              <w:tc>
                <w:tcPr>
                  <w:tcW w:w="800" w:type="pct"/>
                  <w:shd w:val="clear" w:color="auto" w:fill="auto"/>
                  <w:vAlign w:val="center"/>
                </w:tcPr>
                <w:p>
                  <w:pPr>
                    <w:autoSpaceDE w:val="0"/>
                    <w:autoSpaceDN w:val="0"/>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30000t/a</w:t>
                  </w:r>
                </w:p>
              </w:tc>
            </w:tr>
          </w:tbl>
          <w:p>
            <w:pPr>
              <w:spacing w:before="120" w:beforeLines="50" w:line="360" w:lineRule="auto"/>
              <w:ind w:firstLine="482"/>
              <w:rPr>
                <w:rFonts w:ascii="Times New Roman" w:hAnsi="Times New Roman" w:eastAsia="宋体" w:cs="Times New Roman"/>
                <w:b/>
                <w:bCs/>
                <w:sz w:val="24"/>
                <w:szCs w:val="32"/>
              </w:rPr>
            </w:pPr>
            <w:r>
              <w:rPr>
                <w:rFonts w:hint="eastAsia" w:ascii="Times New Roman" w:hAnsi="Times New Roman" w:eastAsia="宋体" w:cs="Times New Roman"/>
                <w:b/>
                <w:bCs/>
                <w:sz w:val="24"/>
                <w:szCs w:val="24"/>
              </w:rPr>
              <w:t>5、项目劳动定员</w:t>
            </w:r>
          </w:p>
          <w:p>
            <w:pPr>
              <w:spacing w:line="360" w:lineRule="auto"/>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项目劳动定员20人，实行两班制，每班8h，年工作330天，共5280h。</w:t>
            </w:r>
          </w:p>
          <w:p>
            <w:pPr>
              <w:adjustRightInd w:val="0"/>
              <w:snapToGrid w:val="0"/>
              <w:spacing w:line="360" w:lineRule="auto"/>
              <w:ind w:firstLine="482"/>
              <w:jc w:val="left"/>
              <w:rPr>
                <w:rFonts w:ascii="Times New Roman" w:hAnsi="Times New Roman" w:eastAsia="宋体" w:cs="Times New Roman"/>
                <w:b/>
                <w:bCs/>
                <w:sz w:val="24"/>
                <w:szCs w:val="32"/>
              </w:rPr>
            </w:pPr>
            <w:r>
              <w:rPr>
                <w:rFonts w:hint="eastAsia" w:ascii="Times New Roman" w:hAnsi="Times New Roman" w:eastAsia="宋体" w:cs="Times New Roman"/>
                <w:b/>
                <w:bCs/>
                <w:sz w:val="24"/>
                <w:szCs w:val="32"/>
              </w:rPr>
              <w:t>6、水资源消耗与水平衡</w:t>
            </w:r>
          </w:p>
          <w:p>
            <w:pPr>
              <w:adjustRightInd w:val="0"/>
              <w:snapToGrid w:val="0"/>
              <w:spacing w:line="360" w:lineRule="auto"/>
              <w:ind w:firstLine="440" w:firstLineChars="200"/>
              <w:jc w:val="left"/>
              <w:rPr>
                <w:rFonts w:ascii="Times New Roman" w:hAnsi="Times New Roman" w:eastAsia="宋体" w:cs="Times New Roman"/>
                <w:bCs/>
                <w:kern w:val="0"/>
                <w:szCs w:val="21"/>
              </w:rPr>
            </w:pPr>
            <w:r>
              <w:rPr>
                <w:rFonts w:hint="eastAsia" w:ascii="Calibri" w:hAnsi="Calibri" w:eastAsia="宋体" w:cs="Times New Roman"/>
                <w:kern w:val="0"/>
                <w:sz w:val="22"/>
                <w:szCs w:val="24"/>
              </w:rPr>
              <w:t>（</w:t>
            </w:r>
            <w:r>
              <w:rPr>
                <w:rFonts w:hint="eastAsia" w:ascii="Times New Roman" w:hAnsi="Times New Roman" w:eastAsia="宋体" w:cs="Times New Roman"/>
                <w:bCs/>
                <w:kern w:val="0"/>
                <w:szCs w:val="21"/>
              </w:rPr>
              <w:t>1）生产用水</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①给水</w:t>
            </w:r>
          </w:p>
          <w:p>
            <w:pPr>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本项目生产用水主要为破碎用水、筛分用水。</w:t>
            </w:r>
          </w:p>
          <w:p>
            <w:pPr>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类比同类型企业，破碎工序总用水量为7.5</w:t>
            </w:r>
            <w:r>
              <w:rPr>
                <w:rFonts w:ascii="Times New Roman" w:hAnsi="Times New Roman" w:eastAsia="宋体" w:cs="Times New Roman"/>
                <w:bCs/>
                <w:kern w:val="0"/>
                <w:szCs w:val="21"/>
              </w:rPr>
              <w:t>m</w:t>
            </w:r>
            <w:r>
              <w:rPr>
                <w:rFonts w:ascii="Times New Roman" w:hAnsi="Times New Roman" w:eastAsia="宋体" w:cs="Times New Roman"/>
                <w:bCs/>
                <w:kern w:val="0"/>
                <w:szCs w:val="21"/>
                <w:vertAlign w:val="superscript"/>
              </w:rPr>
              <w:t>3</w:t>
            </w:r>
            <w:r>
              <w:rPr>
                <w:rFonts w:ascii="Times New Roman" w:hAnsi="Times New Roman" w:eastAsia="宋体" w:cs="Times New Roman"/>
                <w:bCs/>
                <w:kern w:val="0"/>
                <w:szCs w:val="21"/>
              </w:rPr>
              <w:t>/d，</w:t>
            </w:r>
            <w:r>
              <w:rPr>
                <w:rFonts w:hint="eastAsia" w:ascii="Times New Roman" w:hAnsi="Times New Roman" w:eastAsia="宋体" w:cs="Times New Roman"/>
                <w:bCs/>
                <w:kern w:val="0"/>
                <w:szCs w:val="21"/>
              </w:rPr>
              <w:t>2475m</w:t>
            </w:r>
            <w:r>
              <w:rPr>
                <w:rFonts w:hint="eastAsia" w:ascii="Times New Roman" w:hAnsi="Times New Roman" w:eastAsia="宋体" w:cs="Times New Roman"/>
                <w:bCs/>
                <w:kern w:val="0"/>
                <w:szCs w:val="21"/>
                <w:vertAlign w:val="superscript"/>
              </w:rPr>
              <w:t>3</w:t>
            </w:r>
            <w:r>
              <w:rPr>
                <w:rFonts w:hint="eastAsia" w:ascii="Times New Roman" w:hAnsi="Times New Roman" w:eastAsia="宋体" w:cs="Times New Roman"/>
                <w:bCs/>
                <w:kern w:val="0"/>
                <w:szCs w:val="21"/>
              </w:rPr>
              <w:t>/a，</w:t>
            </w:r>
            <w:r>
              <w:rPr>
                <w:rFonts w:ascii="Times New Roman" w:hAnsi="Times New Roman" w:eastAsia="宋体" w:cs="Times New Roman"/>
                <w:bCs/>
                <w:kern w:val="0"/>
                <w:szCs w:val="21"/>
              </w:rPr>
              <w:t>合计筛分工序用水量为</w:t>
            </w:r>
            <w:r>
              <w:rPr>
                <w:rFonts w:hint="eastAsia" w:ascii="Times New Roman" w:hAnsi="Times New Roman" w:eastAsia="宋体" w:cs="Times New Roman"/>
                <w:bCs/>
                <w:kern w:val="0"/>
                <w:szCs w:val="21"/>
              </w:rPr>
              <w:t>180 m</w:t>
            </w:r>
            <w:r>
              <w:rPr>
                <w:rFonts w:hint="eastAsia" w:ascii="Times New Roman" w:hAnsi="Times New Roman" w:eastAsia="宋体" w:cs="Times New Roman"/>
                <w:bCs/>
                <w:kern w:val="0"/>
                <w:szCs w:val="21"/>
                <w:vertAlign w:val="superscript"/>
              </w:rPr>
              <w:t>3</w:t>
            </w:r>
            <w:r>
              <w:rPr>
                <w:rFonts w:hint="eastAsia" w:ascii="Times New Roman" w:hAnsi="Times New Roman" w:eastAsia="宋体" w:cs="Times New Roman"/>
                <w:bCs/>
                <w:kern w:val="0"/>
                <w:szCs w:val="21"/>
              </w:rPr>
              <w:t>/a。</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②排水</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Calibri" w:hAnsi="Calibri" w:eastAsia="宋体" w:cs="Times New Roman"/>
                <w:kern w:val="0"/>
                <w:szCs w:val="21"/>
              </w:rPr>
              <w:t>破碎以及甩干工序废水的产生量为7t/d</w:t>
            </w:r>
            <w:r>
              <w:rPr>
                <w:rFonts w:hint="eastAsia" w:ascii="Times New Roman" w:hAnsi="Times New Roman" w:eastAsia="宋体" w:cs="Times New Roman"/>
                <w:bCs/>
                <w:kern w:val="0"/>
                <w:szCs w:val="21"/>
              </w:rPr>
              <w:t>，筛分废水每月排一次，一次排15t，一年排放180t/a。本项目生产废水经污水处理系统处理后，全部回用于生产，</w:t>
            </w:r>
            <w:r>
              <w:rPr>
                <w:rFonts w:hint="eastAsia" w:ascii="Times New Roman" w:hAnsi="Times New Roman" w:eastAsia="宋体" w:cs="Times New Roman"/>
                <w:bCs/>
                <w:kern w:val="0"/>
                <w:szCs w:val="21"/>
                <w:lang w:eastAsia="zh-CN"/>
              </w:rPr>
              <w:t>无生产废水外排</w:t>
            </w:r>
            <w:r>
              <w:rPr>
                <w:rFonts w:hint="eastAsia" w:ascii="Times New Roman" w:hAnsi="Times New Roman" w:eastAsia="宋体" w:cs="Times New Roman"/>
                <w:bCs/>
                <w:kern w:val="0"/>
                <w:szCs w:val="21"/>
              </w:rPr>
              <w:t>。</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（2）职工生活用水</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本项目劳动定员为20人，无员工宿舍、食堂，员工饮用水为桶装水，所以盥洗用水约为10L/人</w:t>
            </w:r>
            <w:r>
              <w:rPr>
                <w:rFonts w:ascii="Times New Roman" w:hAnsi="Times New Roman" w:eastAsia="宋体" w:cs="Times New Roman"/>
                <w:bCs/>
                <w:kern w:val="0"/>
                <w:szCs w:val="21"/>
              </w:rPr>
              <w:t>·</w:t>
            </w:r>
            <w:r>
              <w:rPr>
                <w:rFonts w:hint="eastAsia" w:ascii="Times New Roman" w:hAnsi="Times New Roman" w:eastAsia="宋体" w:cs="Times New Roman"/>
                <w:bCs/>
                <w:kern w:val="0"/>
                <w:szCs w:val="21"/>
              </w:rPr>
              <w:t>d，则职工生活用水量为0.2m</w:t>
            </w:r>
            <w:r>
              <w:rPr>
                <w:rFonts w:hint="eastAsia" w:ascii="Times New Roman" w:hAnsi="Times New Roman" w:eastAsia="宋体" w:cs="Times New Roman"/>
                <w:bCs/>
                <w:kern w:val="0"/>
                <w:szCs w:val="21"/>
                <w:vertAlign w:val="superscript"/>
              </w:rPr>
              <w:t>3</w:t>
            </w:r>
            <w:r>
              <w:rPr>
                <w:rFonts w:hint="eastAsia" w:ascii="Times New Roman" w:hAnsi="Times New Roman" w:eastAsia="宋体" w:cs="Times New Roman"/>
                <w:bCs/>
                <w:kern w:val="0"/>
                <w:szCs w:val="21"/>
              </w:rPr>
              <w:t>/d，年工作时间为330d，则职工生活用水年用量为66m</w:t>
            </w:r>
            <w:r>
              <w:rPr>
                <w:rFonts w:hint="eastAsia" w:ascii="Times New Roman" w:hAnsi="Times New Roman" w:eastAsia="宋体" w:cs="Times New Roman"/>
                <w:bCs/>
                <w:kern w:val="0"/>
                <w:szCs w:val="21"/>
                <w:vertAlign w:val="superscript"/>
              </w:rPr>
              <w:t>3</w:t>
            </w:r>
            <w:r>
              <w:rPr>
                <w:rFonts w:hint="eastAsia" w:ascii="Times New Roman" w:hAnsi="Times New Roman" w:eastAsia="宋体" w:cs="Times New Roman"/>
                <w:bCs/>
                <w:kern w:val="0"/>
                <w:szCs w:val="21"/>
              </w:rPr>
              <w:t>/a。</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本项目厕所为防渗旱厕，定期清掏用作农肥，</w:t>
            </w:r>
            <w:r>
              <w:t>盥洗废水</w:t>
            </w:r>
            <w:r>
              <w:rPr>
                <w:rFonts w:hint="eastAsia"/>
              </w:rPr>
              <w:t>用于</w:t>
            </w:r>
            <w:r>
              <w:t>泼洒场院抑尘</w:t>
            </w:r>
            <w:r>
              <w:rPr>
                <w:rFonts w:hint="eastAsia" w:ascii="Times New Roman" w:hAnsi="Times New Roman" w:eastAsia="宋体" w:cs="Times New Roman"/>
                <w:bCs/>
                <w:kern w:val="0"/>
                <w:szCs w:val="21"/>
              </w:rPr>
              <w:t>。</w:t>
            </w:r>
          </w:p>
          <w:p>
            <w:pPr>
              <w:ind w:firstLine="420"/>
              <w:rPr>
                <w:rFonts w:ascii="Times New Roman" w:hAnsi="Times New Roman" w:eastAsia="宋体" w:cs="Times New Roman"/>
                <w:szCs w:val="24"/>
              </w:rPr>
            </w:pPr>
            <w:r>
              <w:rPr>
                <w:rFonts w:hint="eastAsia" w:ascii="Times New Roman" w:hAnsi="Times New Roman" w:eastAsia="宋体" w:cs="Times New Roman"/>
                <w:szCs w:val="24"/>
              </w:rPr>
              <w:t>项目水量平衡情况见下表</w:t>
            </w:r>
            <w:r>
              <w:rPr>
                <w:rFonts w:ascii="Times New Roman" w:hAnsi="Times New Roman" w:eastAsia="宋体" w:cs="Times New Roman"/>
                <w:szCs w:val="24"/>
              </w:rPr>
              <w:t>，水量平衡图见下图。</w:t>
            </w:r>
          </w:p>
          <w:p>
            <w:pPr>
              <w:ind w:firstLine="420"/>
              <w:rPr>
                <w:rFonts w:ascii="Times New Roman" w:hAnsi="Times New Roman" w:eastAsia="宋体" w:cs="Times New Roman"/>
                <w:szCs w:val="24"/>
              </w:rPr>
            </w:pPr>
          </w:p>
          <w:p>
            <w:pPr>
              <w:ind w:firstLine="422"/>
              <w:jc w:val="center"/>
              <w:rPr>
                <w:rFonts w:hint="eastAsia" w:ascii="Times New Roman" w:hAnsi="宋体" w:eastAsia="宋体" w:cs="Times New Roman"/>
                <w:b/>
                <w:bCs/>
                <w:snapToGrid w:val="0"/>
                <w:kern w:val="0"/>
                <w:szCs w:val="24"/>
              </w:rPr>
            </w:pPr>
          </w:p>
          <w:p>
            <w:pPr>
              <w:ind w:firstLine="422"/>
              <w:jc w:val="center"/>
              <w:rPr>
                <w:rFonts w:ascii="Times New Roman" w:hAnsi="Times New Roman" w:eastAsia="宋体" w:cs="Times New Roman"/>
                <w:szCs w:val="24"/>
              </w:rPr>
            </w:pPr>
            <w:r>
              <w:rPr>
                <w:rFonts w:hint="eastAsia" w:ascii="Times New Roman" w:hAnsi="宋体" w:eastAsia="宋体" w:cs="Times New Roman"/>
                <w:b/>
                <w:bCs/>
                <w:snapToGrid w:val="0"/>
                <w:kern w:val="0"/>
                <w:szCs w:val="24"/>
              </w:rPr>
              <w:t>表10 项目水量平衡</w:t>
            </w:r>
            <w:r>
              <w:rPr>
                <w:rFonts w:ascii="Times New Roman" w:hAnsi="宋体" w:eastAsia="宋体" w:cs="Times New Roman"/>
                <w:b/>
                <w:bCs/>
                <w:snapToGrid w:val="0"/>
                <w:kern w:val="0"/>
                <w:szCs w:val="24"/>
              </w:rPr>
              <w:t>一览表</w:t>
            </w:r>
          </w:p>
          <w:tbl>
            <w:tblPr>
              <w:tblStyle w:val="18"/>
              <w:tblW w:w="4999"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426"/>
              <w:gridCol w:w="426"/>
              <w:gridCol w:w="1019"/>
              <w:gridCol w:w="1019"/>
              <w:gridCol w:w="1019"/>
              <w:gridCol w:w="1019"/>
              <w:gridCol w:w="1019"/>
              <w:gridCol w:w="1019"/>
              <w:gridCol w:w="101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253" w:type="pc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序号</w:t>
                  </w:r>
                </w:p>
              </w:tc>
              <w:tc>
                <w:tcPr>
                  <w:tcW w:w="485"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用水</w:t>
                  </w:r>
                  <w:r>
                    <w:rPr>
                      <w:rFonts w:ascii="Times New Roman" w:hAnsi="Times New Roman" w:eastAsia="宋体" w:cs="Times New Roman"/>
                      <w:szCs w:val="21"/>
                    </w:rPr>
                    <w:t>项目</w:t>
                  </w:r>
                </w:p>
              </w:tc>
              <w:tc>
                <w:tcPr>
                  <w:tcW w:w="61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总用水量（m</w:t>
                  </w:r>
                  <w:r>
                    <w:rPr>
                      <w:rFonts w:hint="eastAsia" w:ascii="Times New Roman" w:hAnsi="Times New Roman" w:eastAsia="宋体" w:cs="Times New Roman"/>
                      <w:szCs w:val="21"/>
                      <w:vertAlign w:val="superscript"/>
                    </w:rPr>
                    <w:t>3</w:t>
                  </w:r>
                  <w:r>
                    <w:rPr>
                      <w:rFonts w:hint="eastAsia" w:ascii="Times New Roman" w:hAnsi="Times New Roman" w:eastAsia="宋体" w:cs="Times New Roman"/>
                      <w:szCs w:val="21"/>
                    </w:rPr>
                    <w:t>/a）</w:t>
                  </w:r>
                </w:p>
              </w:tc>
              <w:tc>
                <w:tcPr>
                  <w:tcW w:w="61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新水用量（m</w:t>
                  </w:r>
                  <w:r>
                    <w:rPr>
                      <w:rFonts w:hint="eastAsia" w:ascii="Times New Roman" w:hAnsi="Times New Roman" w:eastAsia="宋体" w:cs="Times New Roman"/>
                      <w:szCs w:val="21"/>
                      <w:vertAlign w:val="superscript"/>
                    </w:rPr>
                    <w:t>3</w:t>
                  </w:r>
                  <w:r>
                    <w:rPr>
                      <w:rFonts w:hint="eastAsia" w:ascii="Times New Roman" w:hAnsi="Times New Roman" w:eastAsia="宋体" w:cs="Times New Roman"/>
                      <w:szCs w:val="21"/>
                    </w:rPr>
                    <w:t>/a）</w:t>
                  </w:r>
                </w:p>
              </w:tc>
              <w:tc>
                <w:tcPr>
                  <w:tcW w:w="614" w:type="pc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消耗量</w:t>
                  </w:r>
                  <w:r>
                    <w:rPr>
                      <w:rFonts w:hint="eastAsia" w:ascii="Times New Roman" w:hAnsi="Times New Roman" w:eastAsia="宋体" w:cs="Times New Roman"/>
                      <w:szCs w:val="21"/>
                    </w:rPr>
                    <w:t>（m</w:t>
                  </w:r>
                  <w:r>
                    <w:rPr>
                      <w:rFonts w:hint="eastAsia" w:ascii="Times New Roman" w:hAnsi="Times New Roman" w:eastAsia="宋体" w:cs="Times New Roman"/>
                      <w:szCs w:val="21"/>
                      <w:vertAlign w:val="superscript"/>
                    </w:rPr>
                    <w:t>3</w:t>
                  </w:r>
                  <w:r>
                    <w:rPr>
                      <w:rFonts w:hint="eastAsia" w:ascii="Times New Roman" w:hAnsi="Times New Roman" w:eastAsia="宋体" w:cs="Times New Roman"/>
                      <w:szCs w:val="21"/>
                    </w:rPr>
                    <w:t>/a）</w:t>
                  </w:r>
                </w:p>
              </w:tc>
              <w:tc>
                <w:tcPr>
                  <w:tcW w:w="61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循环水量（m</w:t>
                  </w:r>
                  <w:r>
                    <w:rPr>
                      <w:rFonts w:hint="eastAsia" w:ascii="Times New Roman" w:hAnsi="Times New Roman" w:eastAsia="宋体" w:cs="Times New Roman"/>
                      <w:szCs w:val="21"/>
                      <w:vertAlign w:val="superscript"/>
                    </w:rPr>
                    <w:t>3</w:t>
                  </w:r>
                  <w:r>
                    <w:rPr>
                      <w:rFonts w:hint="eastAsia" w:ascii="Times New Roman" w:hAnsi="Times New Roman" w:eastAsia="宋体" w:cs="Times New Roman"/>
                      <w:szCs w:val="21"/>
                    </w:rPr>
                    <w:t>/a）</w:t>
                  </w:r>
                </w:p>
              </w:tc>
              <w:tc>
                <w:tcPr>
                  <w:tcW w:w="61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回用量（m</w:t>
                  </w:r>
                  <w:r>
                    <w:rPr>
                      <w:rFonts w:hint="eastAsia" w:ascii="Times New Roman" w:hAnsi="Times New Roman" w:eastAsia="宋体" w:cs="Times New Roman"/>
                      <w:szCs w:val="21"/>
                      <w:vertAlign w:val="superscript"/>
                    </w:rPr>
                    <w:t>3</w:t>
                  </w:r>
                  <w:r>
                    <w:rPr>
                      <w:rFonts w:hint="eastAsia" w:ascii="Times New Roman" w:hAnsi="Times New Roman" w:eastAsia="宋体" w:cs="Times New Roman"/>
                      <w:szCs w:val="21"/>
                    </w:rPr>
                    <w:t>/a）</w:t>
                  </w:r>
                </w:p>
              </w:tc>
              <w:tc>
                <w:tcPr>
                  <w:tcW w:w="61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排放量（m</w:t>
                  </w:r>
                  <w:r>
                    <w:rPr>
                      <w:rFonts w:hint="eastAsia" w:ascii="Times New Roman" w:hAnsi="Times New Roman" w:eastAsia="宋体" w:cs="Times New Roman"/>
                      <w:szCs w:val="21"/>
                      <w:vertAlign w:val="superscript"/>
                    </w:rPr>
                    <w:t>3</w:t>
                  </w:r>
                  <w:r>
                    <w:rPr>
                      <w:rFonts w:hint="eastAsia" w:ascii="Times New Roman" w:hAnsi="Times New Roman" w:eastAsia="宋体" w:cs="Times New Roman"/>
                      <w:szCs w:val="21"/>
                    </w:rPr>
                    <w:t>/a）</w:t>
                  </w:r>
                </w:p>
              </w:tc>
              <w:tc>
                <w:tcPr>
                  <w:tcW w:w="579"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其他（m</w:t>
                  </w:r>
                  <w:r>
                    <w:rPr>
                      <w:rFonts w:hint="eastAsia" w:ascii="Times New Roman" w:hAnsi="Times New Roman" w:eastAsia="宋体" w:cs="Times New Roman"/>
                      <w:szCs w:val="21"/>
                      <w:vertAlign w:val="superscript"/>
                    </w:rPr>
                    <w:t>3</w:t>
                  </w:r>
                  <w:r>
                    <w:rPr>
                      <w:rFonts w:hint="eastAsia" w:ascii="Times New Roman" w:hAnsi="Times New Roman" w:eastAsia="宋体" w:cs="Times New Roman"/>
                      <w:szCs w:val="21"/>
                    </w:rPr>
                    <w:t>/a）</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253"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1</w:t>
                  </w:r>
                </w:p>
              </w:tc>
              <w:tc>
                <w:tcPr>
                  <w:tcW w:w="485"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破碎</w:t>
                  </w:r>
                </w:p>
              </w:tc>
              <w:tc>
                <w:tcPr>
                  <w:tcW w:w="61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2475</w:t>
                  </w:r>
                </w:p>
              </w:tc>
              <w:tc>
                <w:tcPr>
                  <w:tcW w:w="61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165</w:t>
                  </w:r>
                </w:p>
              </w:tc>
              <w:tc>
                <w:tcPr>
                  <w:tcW w:w="61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165</w:t>
                  </w:r>
                </w:p>
              </w:tc>
              <w:tc>
                <w:tcPr>
                  <w:tcW w:w="61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0</w:t>
                  </w:r>
                </w:p>
              </w:tc>
              <w:tc>
                <w:tcPr>
                  <w:tcW w:w="61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2310</w:t>
                  </w:r>
                </w:p>
              </w:tc>
              <w:tc>
                <w:tcPr>
                  <w:tcW w:w="61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0</w:t>
                  </w:r>
                </w:p>
              </w:tc>
              <w:tc>
                <w:tcPr>
                  <w:tcW w:w="579"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253"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2</w:t>
                  </w:r>
                </w:p>
              </w:tc>
              <w:tc>
                <w:tcPr>
                  <w:tcW w:w="485"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筛分</w:t>
                  </w:r>
                </w:p>
              </w:tc>
              <w:tc>
                <w:tcPr>
                  <w:tcW w:w="61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180</w:t>
                  </w:r>
                </w:p>
              </w:tc>
              <w:tc>
                <w:tcPr>
                  <w:tcW w:w="61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20</w:t>
                  </w:r>
                </w:p>
              </w:tc>
              <w:tc>
                <w:tcPr>
                  <w:tcW w:w="61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 xml:space="preserve">20 </w:t>
                  </w:r>
                </w:p>
              </w:tc>
              <w:tc>
                <w:tcPr>
                  <w:tcW w:w="61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0</w:t>
                  </w:r>
                </w:p>
              </w:tc>
              <w:tc>
                <w:tcPr>
                  <w:tcW w:w="61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 xml:space="preserve">160 </w:t>
                  </w:r>
                </w:p>
              </w:tc>
              <w:tc>
                <w:tcPr>
                  <w:tcW w:w="61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0</w:t>
                  </w:r>
                </w:p>
              </w:tc>
              <w:tc>
                <w:tcPr>
                  <w:tcW w:w="579"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16" w:hRule="atLeast"/>
                <w:jc w:val="center"/>
              </w:trPr>
              <w:tc>
                <w:tcPr>
                  <w:tcW w:w="253"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3</w:t>
                  </w:r>
                </w:p>
              </w:tc>
              <w:tc>
                <w:tcPr>
                  <w:tcW w:w="485"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生活用水</w:t>
                  </w:r>
                </w:p>
              </w:tc>
              <w:tc>
                <w:tcPr>
                  <w:tcW w:w="61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66</w:t>
                  </w:r>
                </w:p>
              </w:tc>
              <w:tc>
                <w:tcPr>
                  <w:tcW w:w="61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66</w:t>
                  </w:r>
                </w:p>
              </w:tc>
              <w:tc>
                <w:tcPr>
                  <w:tcW w:w="61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13.2</w:t>
                  </w:r>
                </w:p>
              </w:tc>
              <w:tc>
                <w:tcPr>
                  <w:tcW w:w="61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0</w:t>
                  </w:r>
                </w:p>
              </w:tc>
              <w:tc>
                <w:tcPr>
                  <w:tcW w:w="61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0</w:t>
                  </w:r>
                </w:p>
              </w:tc>
              <w:tc>
                <w:tcPr>
                  <w:tcW w:w="61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0</w:t>
                  </w:r>
                </w:p>
              </w:tc>
              <w:tc>
                <w:tcPr>
                  <w:tcW w:w="579"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52.8</w:t>
                  </w:r>
                </w:p>
              </w:tc>
            </w:tr>
          </w:tbl>
          <w:p>
            <w:pPr>
              <w:ind w:firstLine="422"/>
              <w:jc w:val="center"/>
            </w:pPr>
          </w:p>
          <w:p>
            <w:pPr>
              <w:ind w:firstLine="422"/>
              <w:jc w:val="center"/>
            </w:pPr>
          </w:p>
          <w:p>
            <w:pPr>
              <w:adjustRightInd w:val="0"/>
              <w:snapToGrid w:val="0"/>
              <w:jc w:val="center"/>
            </w:pPr>
            <w:r>
              <w:object>
                <v:shape id="_x0000_i1025" o:spt="75" type="#_x0000_t75" style="height:153pt;width:367.5pt;" o:ole="t" filled="f" o:preferrelative="t" stroked="f" coordsize="21600,21600">
                  <v:path/>
                  <v:fill on="f" focussize="0,0"/>
                  <v:stroke on="f" joinstyle="miter"/>
                  <v:imagedata r:id="rId12" o:title=""/>
                  <o:lock v:ext="edit" aspectratio="t"/>
                  <w10:wrap type="none"/>
                  <w10:anchorlock/>
                </v:shape>
                <o:OLEObject Type="Embed" ProgID="Visio.Drawing.15" ShapeID="_x0000_i1025" DrawAspect="Content" ObjectID="_1468075725" r:id="rId11">
                  <o:LockedField>false</o:LockedField>
                </o:OLEObject>
              </w:object>
            </w:r>
          </w:p>
          <w:p>
            <w:pPr>
              <w:ind w:firstLine="422"/>
              <w:jc w:val="center"/>
            </w:pPr>
          </w:p>
          <w:p>
            <w:pPr>
              <w:ind w:firstLine="422"/>
              <w:jc w:val="center"/>
              <w:rPr>
                <w:rFonts w:ascii="Times New Roman" w:hAnsi="Times New Roman" w:eastAsia="宋体" w:cs="Times New Roman"/>
                <w:b/>
                <w:szCs w:val="21"/>
              </w:rPr>
            </w:pPr>
            <w:r>
              <w:rPr>
                <w:rFonts w:hint="eastAsia" w:ascii="Times New Roman" w:hAnsi="Times New Roman" w:eastAsia="宋体" w:cs="Times New Roman"/>
                <w:b/>
                <w:szCs w:val="21"/>
              </w:rPr>
              <w:t>图1 项目水平衡图   单位：m</w:t>
            </w:r>
            <w:r>
              <w:rPr>
                <w:rFonts w:hint="eastAsia" w:ascii="Times New Roman" w:hAnsi="Times New Roman" w:eastAsia="宋体" w:cs="Times New Roman"/>
                <w:b/>
                <w:szCs w:val="21"/>
                <w:vertAlign w:val="superscript"/>
              </w:rPr>
              <w:t>3</w:t>
            </w:r>
            <w:r>
              <w:rPr>
                <w:rFonts w:hint="eastAsia" w:ascii="Times New Roman" w:hAnsi="Times New Roman" w:eastAsia="宋体" w:cs="Times New Roman"/>
                <w:b/>
                <w:szCs w:val="21"/>
              </w:rPr>
              <w:t>/a</w:t>
            </w:r>
          </w:p>
          <w:p>
            <w:pPr>
              <w:ind w:firstLine="422"/>
              <w:jc w:val="center"/>
              <w:rPr>
                <w:rFonts w:ascii="Times New Roman" w:hAnsi="Times New Roman" w:eastAsia="宋体" w:cs="Times New Roman"/>
                <w:b/>
                <w:szCs w:val="21"/>
              </w:rPr>
            </w:pPr>
          </w:p>
          <w:p>
            <w:pPr>
              <w:adjustRightInd w:val="0"/>
              <w:snapToGrid w:val="0"/>
              <w:spacing w:line="360" w:lineRule="auto"/>
              <w:ind w:firstLine="482"/>
              <w:jc w:val="left"/>
              <w:rPr>
                <w:rFonts w:ascii="Times New Roman" w:hAnsi="Times New Roman" w:eastAsia="宋体" w:cs="Times New Roman"/>
                <w:b/>
                <w:bCs/>
                <w:sz w:val="24"/>
                <w:szCs w:val="32"/>
              </w:rPr>
            </w:pPr>
            <w:r>
              <w:rPr>
                <w:rFonts w:hint="eastAsia" w:ascii="Times New Roman" w:hAnsi="Times New Roman" w:eastAsia="宋体" w:cs="Times New Roman"/>
                <w:b/>
                <w:bCs/>
                <w:sz w:val="24"/>
                <w:szCs w:val="32"/>
              </w:rPr>
              <w:t>7、厂区平面布置</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本项目的主要生产设备均在主厂房内，车间内的生产设备按工艺流程摆放，生产车间南侧为原料库，为增大土地的利用率，污水处理系统位于车间东侧。</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总平面布置与生产流程相适应，有利于维修、安全防护和管理。对于工艺装置、系统单元，根据不同特点，分别相对集中布置，形成工艺装置、办公等功能区；危废间距离办公区较远，布置合理。</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项目平布置图详见附图3。</w:t>
            </w:r>
          </w:p>
          <w:p>
            <w:pPr>
              <w:adjustRightInd w:val="0"/>
              <w:snapToGrid w:val="0"/>
              <w:spacing w:line="360" w:lineRule="auto"/>
              <w:jc w:val="left"/>
              <w:rPr>
                <w:rFonts w:ascii="Calibri" w:hAnsi="Calibri" w:eastAsia="宋体" w:cs="Times New Roman"/>
                <w:kern w:val="0"/>
                <w:sz w:val="22"/>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46" w:hRule="atLeast"/>
          <w:jc w:val="center"/>
        </w:trPr>
        <w:tc>
          <w:tcPr>
            <w:tcW w:w="823" w:type="dxa"/>
            <w:vAlign w:val="center"/>
          </w:tcPr>
          <w:p>
            <w:pPr>
              <w:widowControl/>
              <w:adjustRightInd w:val="0"/>
              <w:snapToGrid w:val="0"/>
              <w:jc w:val="center"/>
              <w:rPr>
                <w:rFonts w:ascii="宋体" w:hAnsi="宋体" w:eastAsia="宋体" w:cs="宋体"/>
                <w:kern w:val="0"/>
                <w:szCs w:val="21"/>
              </w:rPr>
            </w:pPr>
            <w:r>
              <w:rPr>
                <w:rFonts w:hint="eastAsia" w:ascii="宋体" w:hAnsi="宋体" w:eastAsia="宋体" w:cs="宋体"/>
                <w:kern w:val="0"/>
                <w:szCs w:val="21"/>
              </w:rPr>
              <w:t>工艺流程和产排污环节</w:t>
            </w:r>
          </w:p>
        </w:tc>
        <w:tc>
          <w:tcPr>
            <w:tcW w:w="8161" w:type="dxa"/>
          </w:tcPr>
          <w:p>
            <w:pPr>
              <w:adjustRightInd w:val="0"/>
              <w:snapToGrid w:val="0"/>
              <w:ind w:firstLine="420"/>
              <w:rPr>
                <w:rFonts w:ascii="宋体" w:hAnsi="宋体" w:eastAsia="宋体" w:cs="Times New Roman"/>
                <w:bCs/>
                <w:szCs w:val="21"/>
              </w:rPr>
            </w:pPr>
            <w:r>
              <w:rPr>
                <w:rFonts w:hint="eastAsia" w:ascii="宋体" w:hAnsi="宋体" w:eastAsia="宋体" w:cs="Times New Roman"/>
                <w:bCs/>
                <w:szCs w:val="21"/>
              </w:rPr>
              <w:t>工艺流程图如下：</w:t>
            </w:r>
          </w:p>
          <w:p>
            <w:pPr>
              <w:adjustRightInd w:val="0"/>
              <w:snapToGrid w:val="0"/>
              <w:jc w:val="center"/>
              <w:rPr>
                <w:rFonts w:ascii="宋体" w:hAnsi="宋体" w:eastAsia="宋体" w:cs="Times New Roman"/>
                <w:bCs/>
                <w:szCs w:val="21"/>
              </w:rPr>
            </w:pPr>
          </w:p>
          <w:p>
            <w:pPr>
              <w:adjustRightInd w:val="0"/>
              <w:snapToGrid w:val="0"/>
              <w:jc w:val="center"/>
              <w:rPr>
                <w:rFonts w:ascii="Times New Roman" w:hAnsi="宋体" w:eastAsia="宋体" w:cs="Times New Roman"/>
                <w:b/>
                <w:bCs/>
                <w:szCs w:val="21"/>
              </w:rPr>
            </w:pPr>
            <w:r>
              <w:object>
                <v:shape id="_x0000_i1026" o:spt="75" type="#_x0000_t75" style="height:168pt;width:381pt;" o:ole="t" filled="f" o:preferrelative="t" stroked="f" coordsize="21600,21600">
                  <v:path/>
                  <v:fill on="f" focussize="0,0"/>
                  <v:stroke on="f" joinstyle="miter"/>
                  <v:imagedata r:id="rId14" o:title=""/>
                  <o:lock v:ext="edit" aspectratio="t"/>
                  <w10:wrap type="none"/>
                  <w10:anchorlock/>
                </v:shape>
                <o:OLEObject Type="Embed" ProgID="Visio.Drawing.15" ShapeID="_x0000_i1026" DrawAspect="Content" ObjectID="_1468075726" r:id="rId13">
                  <o:LockedField>false</o:LockedField>
                </o:OLEObject>
              </w:object>
            </w:r>
          </w:p>
          <w:p>
            <w:pPr>
              <w:adjustRightInd w:val="0"/>
              <w:snapToGrid w:val="0"/>
              <w:jc w:val="center"/>
              <w:rPr>
                <w:rFonts w:ascii="Times New Roman" w:hAnsi="Times New Roman" w:eastAsia="宋体" w:cs="Times New Roman"/>
                <w:b/>
                <w:bCs/>
                <w:szCs w:val="21"/>
              </w:rPr>
            </w:pPr>
            <w:r>
              <w:rPr>
                <w:rFonts w:ascii="Times New Roman" w:hAnsi="宋体" w:eastAsia="宋体" w:cs="Times New Roman"/>
                <w:b/>
                <w:bCs/>
                <w:szCs w:val="21"/>
              </w:rPr>
              <w:drawing>
                <wp:anchor distT="0" distB="0" distL="114300" distR="114300" simplePos="0" relativeHeight="251659264" behindDoc="0" locked="0" layoutInCell="1" allowOverlap="1">
                  <wp:simplePos x="0" y="0"/>
                  <wp:positionH relativeFrom="column">
                    <wp:posOffset>2869565</wp:posOffset>
                  </wp:positionH>
                  <wp:positionV relativeFrom="paragraph">
                    <wp:posOffset>133985</wp:posOffset>
                  </wp:positionV>
                  <wp:extent cx="2305050" cy="281305"/>
                  <wp:effectExtent l="0" t="0" r="0" b="4445"/>
                  <wp:wrapTopAndBottom/>
                  <wp:docPr id="3" name="图片 3" descr="C:\Users\DELL\AppData\Local\Temp\165510159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C:\Users\DELL\AppData\Local\Temp\1655101594(1).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2305050" cy="281305"/>
                          </a:xfrm>
                          <a:prstGeom prst="rect">
                            <a:avLst/>
                          </a:prstGeom>
                          <a:noFill/>
                          <a:ln>
                            <a:noFill/>
                          </a:ln>
                        </pic:spPr>
                      </pic:pic>
                    </a:graphicData>
                  </a:graphic>
                </wp:anchor>
              </w:drawing>
            </w:r>
            <w:r>
              <w:rPr>
                <w:rFonts w:ascii="Times New Roman" w:hAnsi="宋体" w:eastAsia="宋体" w:cs="Times New Roman"/>
                <w:b/>
                <w:bCs/>
                <w:szCs w:val="21"/>
              </w:rPr>
              <w:t>图</w:t>
            </w:r>
            <w:r>
              <w:rPr>
                <w:rFonts w:hint="eastAsia" w:ascii="Times New Roman" w:hAnsi="宋体" w:eastAsia="宋体" w:cs="Times New Roman"/>
                <w:b/>
                <w:bCs/>
                <w:szCs w:val="21"/>
              </w:rPr>
              <w:t xml:space="preserve">2 </w:t>
            </w:r>
            <w:r>
              <w:rPr>
                <w:rFonts w:ascii="Times New Roman" w:hAnsi="宋体" w:eastAsia="宋体" w:cs="Times New Roman"/>
                <w:b/>
                <w:bCs/>
                <w:szCs w:val="21"/>
              </w:rPr>
              <w:t>主要工艺流程及产排污节点图</w:t>
            </w:r>
          </w:p>
          <w:p>
            <w:pPr>
              <w:adjustRightInd w:val="0"/>
              <w:snapToGrid w:val="0"/>
              <w:spacing w:line="360" w:lineRule="auto"/>
              <w:ind w:firstLine="440" w:firstLineChars="200"/>
              <w:jc w:val="left"/>
              <w:rPr>
                <w:rFonts w:ascii="Times New Roman" w:hAnsi="Times New Roman" w:eastAsia="宋体" w:cs="Times New Roman"/>
                <w:bCs/>
                <w:kern w:val="0"/>
                <w:szCs w:val="21"/>
              </w:rPr>
            </w:pPr>
            <w:r>
              <w:rPr>
                <w:rFonts w:hint="eastAsia" w:ascii="宋体" w:hAnsi="宋体" w:eastAsia="宋体" w:cs="Times New Roman"/>
                <w:bCs/>
                <w:kern w:val="0"/>
                <w:sz w:val="22"/>
                <w:szCs w:val="21"/>
              </w:rPr>
              <w:t>工</w:t>
            </w:r>
            <w:r>
              <w:rPr>
                <w:rFonts w:hint="eastAsia" w:ascii="Times New Roman" w:hAnsi="Times New Roman" w:eastAsia="宋体" w:cs="Times New Roman"/>
                <w:bCs/>
                <w:kern w:val="0"/>
                <w:szCs w:val="21"/>
              </w:rPr>
              <w:t>艺流程简介：</w:t>
            </w:r>
          </w:p>
          <w:p>
            <w:pPr>
              <w:snapToGrid w:val="0"/>
              <w:spacing w:line="360" w:lineRule="auto"/>
              <w:ind w:firstLine="420" w:firstLineChars="200"/>
              <w:jc w:val="left"/>
              <w:rPr>
                <w:rFonts w:ascii="Calibri" w:hAnsi="Calibri" w:eastAsia="宋体" w:cs="Times New Roman"/>
                <w:bCs/>
                <w:kern w:val="0"/>
                <w:sz w:val="22"/>
                <w:szCs w:val="21"/>
              </w:rPr>
            </w:pPr>
            <w:r>
              <w:rPr>
                <w:rFonts w:hint="eastAsia" w:ascii="Times New Roman" w:hAnsi="Times New Roman" w:eastAsia="宋体" w:cs="Times New Roman"/>
                <w:bCs/>
                <w:kern w:val="0"/>
                <w:szCs w:val="21"/>
              </w:rPr>
              <w:t>本项目所回收的原料多数为废品站打包压缩的废塑料瓶，少部分为散装的原料，原料为秦皇岛及周边地区的废塑料瓶，</w:t>
            </w:r>
            <w:r>
              <w:rPr>
                <w:rFonts w:hint="eastAsia" w:ascii="Calibri" w:hAnsi="Calibri" w:eastAsia="宋体" w:cs="Times New Roman"/>
                <w:bCs/>
                <w:kern w:val="0"/>
                <w:szCs w:val="21"/>
              </w:rPr>
              <w:t>无进口原材料，不包括受到危险化学品、农药等污染的废弃塑料包装物、废弃一次性医疗用塑料制品等塑料类危险废物，以及氟塑料等特种工程塑料。</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（1）拆包、风选</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购入的废旧聚酯瓶中含有部分压包瓶，人工解开袋子后，再利用开包机将压包瓶打散后进行生产。购入的散料则先经过风选机，根据重量的不同，筛选出玻璃、铝制等其他材料的废包装瓶。</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该过程主要污染物为拆包、风选噪声（N）以及风选出来的固废（S）、包装袋（S）。</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（2）扒瓶</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将聚酯瓶通过传送带输送机运至扒瓶机进行脱标，扒瓶机</w:t>
            </w:r>
            <w:r>
              <w:rPr>
                <w:rFonts w:ascii="Helvetica" w:hAnsi="Helvetica"/>
                <w:szCs w:val="21"/>
                <w:shd w:val="clear" w:color="auto" w:fill="FFFFFF"/>
              </w:rPr>
              <w:t>主轴上焊装的叶片与主轴中心线有一定的夹角和螺旋线旋转时，将瓶料向出料端输送，叶片上的爪丁将标签剥离，内置喷嘴将剥离的标签从八角笼各边密布的圆孔冲出</w:t>
            </w:r>
            <w:r>
              <w:rPr>
                <w:rFonts w:hint="eastAsia" w:ascii="Times New Roman" w:hAnsi="Times New Roman" w:eastAsia="宋体" w:cs="Times New Roman"/>
                <w:bCs/>
                <w:kern w:val="0"/>
                <w:szCs w:val="21"/>
              </w:rPr>
              <w:t>。</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该过程主要污染物为机器运行噪声（N）</w:t>
            </w:r>
            <w:r>
              <w:rPr>
                <w:rFonts w:ascii="Times New Roman" w:hAnsi="Times New Roman" w:eastAsia="宋体" w:cs="Times New Roman"/>
                <w:bCs/>
                <w:kern w:val="0"/>
                <w:szCs w:val="21"/>
              </w:rPr>
              <w:t>。</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（3）人工分选</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ascii="Times New Roman" w:hAnsi="Times New Roman" w:eastAsia="宋体" w:cs="Times New Roman"/>
                <w:bCs/>
                <w:kern w:val="0"/>
                <w:szCs w:val="21"/>
              </w:rPr>
              <w:t>人工在传送带上将带色的瓶子挑选出来，带色瓶子积累到一定的数量后，进行单独的生产。</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（4）破碎</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经传送带输送机运至粉碎机，破碎过程采用湿式破碎（即在破碎机顶部加装水管，运行时从顶部均匀连续喷入水流），废旧聚酯制品在粉碎机内被破碎为聚酯片。破碎用水循环利用。废水经污水处理站处理后回用于生产。</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该过程主要污染物为破碎噪声（N）、破碎废水（W）。</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（5）甩干</w:t>
            </w:r>
          </w:p>
          <w:p>
            <w:pPr>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破碎后废塑料经过风吸入甩干机内，利用离心力的原理，通过在高速旋转的状态下脱除大部分水分。</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本工序会产生甩干废水（W）和噪声（N）。</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（6）筛分</w:t>
            </w:r>
          </w:p>
          <w:p>
            <w:pPr>
              <w:snapToGrid w:val="0"/>
              <w:spacing w:line="360" w:lineRule="auto"/>
              <w:ind w:firstLine="420" w:firstLineChars="200"/>
              <w:jc w:val="left"/>
              <w:rPr>
                <w:rFonts w:ascii="Calibri" w:hAnsi="Calibri" w:eastAsia="宋体" w:cs="Times New Roman"/>
                <w:bCs/>
                <w:kern w:val="0"/>
                <w:szCs w:val="21"/>
              </w:rPr>
            </w:pPr>
            <w:r>
              <w:rPr>
                <w:rFonts w:hint="eastAsia" w:ascii="Times New Roman" w:hAnsi="Times New Roman" w:eastAsia="宋体" w:cs="Times New Roman"/>
                <w:bCs/>
                <w:kern w:val="0"/>
                <w:szCs w:val="21"/>
              </w:rPr>
              <w:t>甩干后的物料进入筛分槽，利用密度的不同，将片料和瓶盖分开，筛分槽内的水定期进行更换。废水经污水处理站处理后回用于生产。</w:t>
            </w:r>
          </w:p>
          <w:p>
            <w:pPr>
              <w:snapToGrid w:val="0"/>
              <w:spacing w:line="360" w:lineRule="auto"/>
              <w:ind w:firstLine="420" w:firstLineChars="200"/>
              <w:jc w:val="left"/>
              <w:rPr>
                <w:rFonts w:ascii="Calibri" w:hAnsi="Calibri" w:eastAsia="宋体" w:cs="Times New Roman"/>
                <w:bCs/>
                <w:kern w:val="0"/>
                <w:szCs w:val="21"/>
              </w:rPr>
            </w:pPr>
            <w:r>
              <w:rPr>
                <w:rFonts w:hint="eastAsia" w:ascii="Calibri" w:hAnsi="Calibri" w:eastAsia="宋体" w:cs="Times New Roman"/>
                <w:bCs/>
                <w:kern w:val="0"/>
                <w:szCs w:val="21"/>
              </w:rPr>
              <w:t>该工序主要</w:t>
            </w:r>
            <w:r>
              <w:rPr>
                <w:rFonts w:hint="eastAsia" w:ascii="Times New Roman" w:hAnsi="Times New Roman" w:eastAsia="宋体" w:cs="Times New Roman"/>
                <w:bCs/>
                <w:kern w:val="0"/>
                <w:szCs w:val="21"/>
              </w:rPr>
              <w:t>污染物为筛分废水（W）</w:t>
            </w:r>
            <w:r>
              <w:rPr>
                <w:rFonts w:hint="eastAsia" w:ascii="Calibri" w:hAnsi="Calibri" w:eastAsia="宋体" w:cs="Times New Roman"/>
                <w:bCs/>
                <w:kern w:val="0"/>
                <w:szCs w:val="21"/>
              </w:rPr>
              <w:t>。</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（7）甩干</w:t>
            </w:r>
          </w:p>
          <w:p>
            <w:pPr>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筛分后的片料经过再次甩干，通过在高速旋转的状态下脱除大部分水分。</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本工序会产生甩干废水（W）和噪声（N）。</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（8）风选</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将脱水后的片料输送送至风选机进行风选，风选过程利用皮片料及商标纸的比重不同，分离扒瓶机未去除干净的废旧商标纸。</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该过程主要产生噪声</w:t>
            </w:r>
            <w:r>
              <w:rPr>
                <w:rFonts w:hint="eastAsia" w:ascii="Calibri" w:hAnsi="Calibri" w:eastAsia="宋体" w:cs="Times New Roman"/>
                <w:bCs/>
                <w:kern w:val="0"/>
                <w:szCs w:val="21"/>
              </w:rPr>
              <w:t>（N）</w:t>
            </w:r>
            <w:r>
              <w:rPr>
                <w:rFonts w:hint="eastAsia" w:ascii="Times New Roman" w:hAnsi="Times New Roman" w:eastAsia="宋体" w:cs="Times New Roman"/>
                <w:bCs/>
                <w:kern w:val="0"/>
                <w:szCs w:val="21"/>
              </w:rPr>
              <w:t>。</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（9）打包</w:t>
            </w:r>
          </w:p>
          <w:p>
            <w:pPr>
              <w:adjustRightInd w:val="0"/>
              <w:snapToGrid w:val="0"/>
              <w:spacing w:line="360" w:lineRule="auto"/>
              <w:ind w:firstLine="420" w:firstLineChars="200"/>
              <w:jc w:val="left"/>
              <w:rPr>
                <w:rFonts w:ascii="Times New Roman" w:hAnsi="Times New Roman" w:eastAsia="宋体" w:cs="Times New Roman"/>
                <w:bCs/>
                <w:kern w:val="0"/>
                <w:szCs w:val="21"/>
              </w:rPr>
            </w:pPr>
            <w:r>
              <w:rPr>
                <w:rFonts w:hint="eastAsia" w:ascii="Times New Roman" w:hAnsi="Times New Roman" w:eastAsia="宋体" w:cs="Times New Roman"/>
                <w:bCs/>
                <w:kern w:val="0"/>
                <w:szCs w:val="21"/>
              </w:rPr>
              <w:t>将成品、商标以及瓶盖打包，放置成品区。</w:t>
            </w:r>
          </w:p>
          <w:p>
            <w:pPr>
              <w:ind w:firstLine="420"/>
              <w:rPr>
                <w:rFonts w:ascii="Times New Roman" w:hAnsi="Times New Roman" w:eastAsia="宋体" w:cs="Times New Roman"/>
                <w:szCs w:val="24"/>
              </w:rPr>
            </w:pPr>
            <w:r>
              <w:rPr>
                <w:rFonts w:hint="eastAsia" w:ascii="Times New Roman" w:hAnsi="Times New Roman" w:eastAsia="宋体" w:cs="Times New Roman"/>
                <w:szCs w:val="24"/>
              </w:rPr>
              <w:t>本项目排污节点详见表11。</w:t>
            </w:r>
          </w:p>
          <w:p>
            <w:pPr>
              <w:adjustRightInd w:val="0"/>
              <w:snapToGrid w:val="0"/>
              <w:ind w:firstLine="422"/>
              <w:jc w:val="center"/>
              <w:rPr>
                <w:rFonts w:ascii="Times New Roman" w:hAnsi="宋体" w:eastAsia="宋体" w:cs="Times New Roman"/>
                <w:b/>
                <w:bCs/>
                <w:szCs w:val="21"/>
              </w:rPr>
            </w:pPr>
          </w:p>
          <w:p>
            <w:pPr>
              <w:adjustRightInd w:val="0"/>
              <w:snapToGrid w:val="0"/>
              <w:ind w:firstLine="422"/>
              <w:jc w:val="center"/>
              <w:rPr>
                <w:rFonts w:ascii="Times New Roman" w:hAnsi="Times New Roman" w:eastAsia="宋体" w:cs="Times New Roman"/>
                <w:szCs w:val="24"/>
              </w:rPr>
            </w:pPr>
            <w:r>
              <w:rPr>
                <w:rFonts w:hint="eastAsia" w:ascii="Times New Roman" w:hAnsi="宋体" w:eastAsia="宋体" w:cs="Times New Roman"/>
                <w:b/>
                <w:bCs/>
                <w:szCs w:val="21"/>
              </w:rPr>
              <w:t>表 11本项目排污节点一览表</w:t>
            </w:r>
          </w:p>
          <w:tbl>
            <w:tblPr>
              <w:tblStyle w:val="1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6"/>
              <w:gridCol w:w="642"/>
              <w:gridCol w:w="2458"/>
              <w:gridCol w:w="1155"/>
              <w:gridCol w:w="31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6" w:type="pc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类别</w:t>
                  </w:r>
                </w:p>
              </w:tc>
              <w:tc>
                <w:tcPr>
                  <w:tcW w:w="402"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序号</w:t>
                  </w:r>
                </w:p>
              </w:tc>
              <w:tc>
                <w:tcPr>
                  <w:tcW w:w="1539" w:type="pct"/>
                  <w:vAlign w:val="center"/>
                </w:tcPr>
                <w:p>
                  <w:pPr>
                    <w:jc w:val="center"/>
                    <w:rPr>
                      <w:rFonts w:ascii="宋体" w:hAnsi="宋体" w:eastAsia="宋体" w:cs="等线"/>
                      <w:szCs w:val="21"/>
                    </w:rPr>
                  </w:pPr>
                  <w:r>
                    <w:rPr>
                      <w:rFonts w:hint="eastAsia" w:ascii="宋体" w:hAnsi="宋体" w:eastAsia="宋体" w:cs="等线"/>
                      <w:szCs w:val="21"/>
                    </w:rPr>
                    <w:t>污染源名称</w:t>
                  </w:r>
                </w:p>
              </w:tc>
              <w:tc>
                <w:tcPr>
                  <w:tcW w:w="723" w:type="pct"/>
                  <w:vAlign w:val="center"/>
                </w:tcPr>
                <w:p>
                  <w:pPr>
                    <w:jc w:val="center"/>
                    <w:rPr>
                      <w:rFonts w:ascii="宋体" w:hAnsi="宋体" w:eastAsia="宋体" w:cs="等线"/>
                      <w:szCs w:val="21"/>
                    </w:rPr>
                  </w:pPr>
                  <w:r>
                    <w:rPr>
                      <w:rFonts w:hint="eastAsia" w:ascii="宋体" w:hAnsi="宋体" w:eastAsia="宋体" w:cs="等线"/>
                      <w:szCs w:val="21"/>
                    </w:rPr>
                    <w:t>污染物</w:t>
                  </w:r>
                </w:p>
              </w:tc>
              <w:tc>
                <w:tcPr>
                  <w:tcW w:w="1950" w:type="pct"/>
                  <w:vAlign w:val="center"/>
                </w:tcPr>
                <w:p>
                  <w:pPr>
                    <w:jc w:val="center"/>
                    <w:rPr>
                      <w:rFonts w:ascii="宋体" w:hAnsi="宋体" w:eastAsia="宋体" w:cs="等线"/>
                      <w:szCs w:val="21"/>
                    </w:rPr>
                  </w:pPr>
                  <w:r>
                    <w:rPr>
                      <w:rFonts w:hint="eastAsia" w:ascii="宋体" w:hAnsi="宋体" w:eastAsia="宋体" w:cs="等线"/>
                      <w:szCs w:val="21"/>
                    </w:rPr>
                    <w:t>治理措施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6"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废水</w:t>
                  </w:r>
                </w:p>
              </w:tc>
              <w:tc>
                <w:tcPr>
                  <w:tcW w:w="402" w:type="pct"/>
                  <w:vAlign w:val="center"/>
                </w:tcPr>
                <w:p>
                  <w:pPr>
                    <w:snapToGrid w:val="0"/>
                    <w:jc w:val="center"/>
                    <w:rPr>
                      <w:rFonts w:ascii="Times New Roman" w:hAnsi="Times New Roman" w:eastAsia="宋体" w:cs="Times New Roman"/>
                      <w:szCs w:val="21"/>
                    </w:rPr>
                  </w:pPr>
                  <w:r>
                    <w:rPr>
                      <w:rFonts w:hint="eastAsia" w:ascii="Times New Roman" w:hAnsi="Times New Roman" w:eastAsia="宋体" w:cs="Times New Roman"/>
                      <w:szCs w:val="21"/>
                    </w:rPr>
                    <w:t>W1</w:t>
                  </w:r>
                </w:p>
              </w:tc>
              <w:tc>
                <w:tcPr>
                  <w:tcW w:w="1539"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破碎、甩干、筛分废水</w:t>
                  </w:r>
                </w:p>
              </w:tc>
              <w:tc>
                <w:tcPr>
                  <w:tcW w:w="723" w:type="pct"/>
                  <w:vAlign w:val="center"/>
                </w:tcPr>
                <w:p>
                  <w:pPr>
                    <w:snapToGrid w:val="0"/>
                    <w:jc w:val="center"/>
                    <w:rPr>
                      <w:rFonts w:ascii="Times New Roman" w:hAnsi="Times New Roman" w:eastAsia="宋体" w:cs="Times New Roman"/>
                      <w:szCs w:val="21"/>
                    </w:rPr>
                  </w:pPr>
                  <w:r>
                    <w:rPr>
                      <w:rFonts w:hint="eastAsia" w:ascii="Times New Roman" w:hAnsi="Times New Roman" w:eastAsia="宋体" w:cs="Times New Roman"/>
                      <w:szCs w:val="21"/>
                    </w:rPr>
                    <w:t>COD、NH</w:t>
                  </w:r>
                  <w:r>
                    <w:rPr>
                      <w:rFonts w:hint="eastAsia" w:ascii="Times New Roman" w:hAnsi="Times New Roman" w:eastAsia="宋体" w:cs="Times New Roman"/>
                      <w:szCs w:val="21"/>
                      <w:vertAlign w:val="subscript"/>
                    </w:rPr>
                    <w:t>3</w:t>
                  </w:r>
                  <w:r>
                    <w:rPr>
                      <w:rFonts w:hint="eastAsia" w:ascii="Times New Roman" w:hAnsi="Times New Roman" w:eastAsia="宋体" w:cs="Times New Roman"/>
                      <w:szCs w:val="21"/>
                    </w:rPr>
                    <w:t>-N、SS、动植物油</w:t>
                  </w:r>
                </w:p>
              </w:tc>
              <w:tc>
                <w:tcPr>
                  <w:tcW w:w="1950" w:type="pct"/>
                  <w:vAlign w:val="center"/>
                </w:tcPr>
                <w:p>
                  <w:pPr>
                    <w:snapToGrid w:val="0"/>
                    <w:jc w:val="center"/>
                    <w:rPr>
                      <w:rFonts w:ascii="宋体" w:hAnsi="宋体" w:eastAsia="宋体" w:cs="Times New Roman"/>
                      <w:szCs w:val="21"/>
                    </w:rPr>
                  </w:pPr>
                  <w:r>
                    <w:rPr>
                      <w:rFonts w:ascii="宋体" w:hAnsi="宋体" w:eastAsia="宋体" w:cs="Times New Roman"/>
                      <w:szCs w:val="21"/>
                    </w:rPr>
                    <w:t>经污水处理系统（隔油池+絮凝沉淀）处理后回用于生产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6" w:type="pct"/>
                  <w:vMerge w:val="restar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噪声</w:t>
                  </w:r>
                </w:p>
              </w:tc>
              <w:tc>
                <w:tcPr>
                  <w:tcW w:w="402"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N</w:t>
                  </w:r>
                  <w:r>
                    <w:rPr>
                      <w:rFonts w:hint="eastAsia" w:ascii="Times New Roman" w:hAnsi="Times New Roman" w:eastAsia="宋体" w:cs="Times New Roman"/>
                      <w:szCs w:val="21"/>
                      <w:vertAlign w:val="subscript"/>
                    </w:rPr>
                    <w:t>1</w:t>
                  </w:r>
                </w:p>
              </w:tc>
              <w:tc>
                <w:tcPr>
                  <w:tcW w:w="1539" w:type="pct"/>
                  <w:vAlign w:val="center"/>
                </w:tcPr>
                <w:p>
                  <w:pPr>
                    <w:adjustRightInd w:val="0"/>
                    <w:snapToGrid w:val="0"/>
                    <w:jc w:val="center"/>
                    <w:rPr>
                      <w:rFonts w:ascii="Times New Roman" w:hAnsi="宋体" w:eastAsia="宋体" w:cs="Times New Roman"/>
                      <w:kern w:val="0"/>
                      <w:szCs w:val="21"/>
                    </w:rPr>
                  </w:pPr>
                  <w:r>
                    <w:rPr>
                      <w:rFonts w:hint="eastAsia" w:ascii="Times New Roman" w:hAnsi="宋体" w:eastAsia="宋体" w:cs="Times New Roman"/>
                      <w:kern w:val="0"/>
                      <w:szCs w:val="21"/>
                    </w:rPr>
                    <w:t>拆包机</w:t>
                  </w:r>
                </w:p>
              </w:tc>
              <w:tc>
                <w:tcPr>
                  <w:tcW w:w="723" w:type="pct"/>
                  <w:vMerge w:val="restar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L</w:t>
                  </w:r>
                  <w:r>
                    <w:rPr>
                      <w:rFonts w:hint="eastAsia" w:ascii="Times New Roman" w:hAnsi="Times New Roman" w:eastAsia="宋体" w:cs="Times New Roman"/>
                      <w:szCs w:val="21"/>
                      <w:vertAlign w:val="subscript"/>
                    </w:rPr>
                    <w:t>eq</w:t>
                  </w:r>
                </w:p>
              </w:tc>
              <w:tc>
                <w:tcPr>
                  <w:tcW w:w="1950" w:type="pct"/>
                  <w:vAlign w:val="center"/>
                </w:tcPr>
                <w:p>
                  <w:pPr>
                    <w:snapToGrid w:val="0"/>
                    <w:jc w:val="center"/>
                    <w:rPr>
                      <w:rFonts w:ascii="Times New Roman" w:hAnsi="Times New Roman" w:eastAsia="宋体" w:cs="Times New Roman"/>
                      <w:szCs w:val="21"/>
                    </w:rPr>
                  </w:pPr>
                  <w:r>
                    <w:rPr>
                      <w:rFonts w:hint="eastAsia" w:ascii="Times New Roman" w:hAnsi="Times New Roman" w:eastAsia="宋体" w:cs="Times New Roman"/>
                      <w:szCs w:val="21"/>
                    </w:rPr>
                    <w:t>减震基础+</w:t>
                  </w:r>
                  <w:r>
                    <w:rPr>
                      <w:rFonts w:ascii="Times New Roman" w:hAnsi="Times New Roman" w:eastAsia="宋体" w:cs="Times New Roman"/>
                      <w:szCs w:val="21"/>
                    </w:rPr>
                    <w:t>厂房隔声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6" w:type="pct"/>
                  <w:vMerge w:val="continue"/>
                  <w:vAlign w:val="center"/>
                </w:tcPr>
                <w:p>
                  <w:pPr>
                    <w:snapToGrid w:val="0"/>
                    <w:jc w:val="center"/>
                    <w:rPr>
                      <w:rFonts w:ascii="Times New Roman" w:hAnsi="Times New Roman" w:eastAsia="宋体" w:cs="Times New Roman"/>
                      <w:szCs w:val="21"/>
                    </w:rPr>
                  </w:pPr>
                </w:p>
              </w:tc>
              <w:tc>
                <w:tcPr>
                  <w:tcW w:w="402"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N</w:t>
                  </w:r>
                  <w:r>
                    <w:rPr>
                      <w:rFonts w:hint="eastAsia" w:ascii="Times New Roman" w:hAnsi="Times New Roman" w:eastAsia="宋体" w:cs="Times New Roman"/>
                      <w:szCs w:val="21"/>
                      <w:vertAlign w:val="subscript"/>
                    </w:rPr>
                    <w:t>2</w:t>
                  </w:r>
                </w:p>
              </w:tc>
              <w:tc>
                <w:tcPr>
                  <w:tcW w:w="1539" w:type="pct"/>
                  <w:vAlign w:val="center"/>
                </w:tcPr>
                <w:p>
                  <w:pPr>
                    <w:adjustRightInd w:val="0"/>
                    <w:snapToGrid w:val="0"/>
                    <w:jc w:val="center"/>
                    <w:rPr>
                      <w:rFonts w:ascii="Times New Roman" w:hAnsi="宋体" w:eastAsia="宋体" w:cs="Times New Roman"/>
                      <w:kern w:val="0"/>
                      <w:szCs w:val="21"/>
                    </w:rPr>
                  </w:pPr>
                  <w:r>
                    <w:rPr>
                      <w:rFonts w:hint="eastAsia" w:ascii="Times New Roman" w:hAnsi="宋体" w:eastAsia="宋体" w:cs="Times New Roman"/>
                      <w:kern w:val="0"/>
                      <w:szCs w:val="21"/>
                    </w:rPr>
                    <w:t>粉碎机</w:t>
                  </w:r>
                </w:p>
              </w:tc>
              <w:tc>
                <w:tcPr>
                  <w:tcW w:w="723" w:type="pct"/>
                  <w:vMerge w:val="continue"/>
                  <w:vAlign w:val="center"/>
                </w:tcPr>
                <w:p>
                  <w:pPr>
                    <w:snapToGrid w:val="0"/>
                    <w:jc w:val="center"/>
                    <w:rPr>
                      <w:rFonts w:ascii="Times New Roman" w:hAnsi="Times New Roman" w:eastAsia="宋体" w:cs="Times New Roman"/>
                      <w:szCs w:val="21"/>
                    </w:rPr>
                  </w:pPr>
                </w:p>
              </w:tc>
              <w:tc>
                <w:tcPr>
                  <w:tcW w:w="1950" w:type="pct"/>
                  <w:vAlign w:val="center"/>
                </w:tcPr>
                <w:p>
                  <w:pPr>
                    <w:snapToGrid w:val="0"/>
                    <w:jc w:val="center"/>
                    <w:rPr>
                      <w:rFonts w:ascii="Times New Roman" w:hAnsi="Times New Roman" w:eastAsia="宋体" w:cs="Times New Roman"/>
                      <w:szCs w:val="21"/>
                    </w:rPr>
                  </w:pPr>
                  <w:r>
                    <w:rPr>
                      <w:rFonts w:hint="eastAsia" w:ascii="Times New Roman" w:hAnsi="Times New Roman" w:eastAsia="宋体" w:cs="Times New Roman"/>
                      <w:szCs w:val="21"/>
                    </w:rPr>
                    <w:t>减震基础+</w:t>
                  </w:r>
                  <w:r>
                    <w:rPr>
                      <w:rFonts w:ascii="Times New Roman" w:hAnsi="Times New Roman" w:eastAsia="宋体" w:cs="Times New Roman"/>
                      <w:szCs w:val="21"/>
                    </w:rPr>
                    <w:t>厂房隔声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6" w:type="pct"/>
                  <w:vMerge w:val="continue"/>
                  <w:vAlign w:val="center"/>
                </w:tcPr>
                <w:p>
                  <w:pPr>
                    <w:snapToGrid w:val="0"/>
                    <w:jc w:val="center"/>
                    <w:rPr>
                      <w:rFonts w:ascii="Times New Roman" w:hAnsi="Times New Roman" w:eastAsia="宋体" w:cs="Times New Roman"/>
                      <w:szCs w:val="21"/>
                    </w:rPr>
                  </w:pPr>
                </w:p>
              </w:tc>
              <w:tc>
                <w:tcPr>
                  <w:tcW w:w="402"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N</w:t>
                  </w:r>
                  <w:r>
                    <w:rPr>
                      <w:rFonts w:hint="eastAsia" w:ascii="Times New Roman" w:hAnsi="Times New Roman" w:eastAsia="宋体" w:cs="Times New Roman"/>
                      <w:szCs w:val="21"/>
                      <w:vertAlign w:val="subscript"/>
                    </w:rPr>
                    <w:t>3</w:t>
                  </w:r>
                </w:p>
              </w:tc>
              <w:tc>
                <w:tcPr>
                  <w:tcW w:w="1539" w:type="pct"/>
                  <w:vAlign w:val="center"/>
                </w:tcPr>
                <w:p>
                  <w:pPr>
                    <w:adjustRightInd w:val="0"/>
                    <w:snapToGrid w:val="0"/>
                    <w:jc w:val="center"/>
                    <w:rPr>
                      <w:rFonts w:ascii="Times New Roman" w:hAnsi="宋体" w:eastAsia="宋体" w:cs="Times New Roman"/>
                      <w:kern w:val="0"/>
                      <w:szCs w:val="21"/>
                    </w:rPr>
                  </w:pPr>
                  <w:r>
                    <w:rPr>
                      <w:rFonts w:hint="eastAsia" w:ascii="Times New Roman" w:hAnsi="宋体" w:eastAsia="宋体" w:cs="Times New Roman"/>
                      <w:kern w:val="0"/>
                      <w:szCs w:val="21"/>
                    </w:rPr>
                    <w:t>扒瓶机</w:t>
                  </w:r>
                </w:p>
              </w:tc>
              <w:tc>
                <w:tcPr>
                  <w:tcW w:w="723" w:type="pct"/>
                  <w:vMerge w:val="continue"/>
                  <w:vAlign w:val="center"/>
                </w:tcPr>
                <w:p>
                  <w:pPr>
                    <w:snapToGrid w:val="0"/>
                    <w:jc w:val="center"/>
                    <w:rPr>
                      <w:rFonts w:ascii="Times New Roman" w:hAnsi="Times New Roman" w:eastAsia="宋体" w:cs="Times New Roman"/>
                      <w:szCs w:val="21"/>
                    </w:rPr>
                  </w:pPr>
                </w:p>
              </w:tc>
              <w:tc>
                <w:tcPr>
                  <w:tcW w:w="1950" w:type="pct"/>
                  <w:vAlign w:val="center"/>
                </w:tcPr>
                <w:p>
                  <w:pPr>
                    <w:snapToGrid w:val="0"/>
                    <w:jc w:val="center"/>
                    <w:rPr>
                      <w:rFonts w:ascii="Times New Roman" w:hAnsi="Times New Roman" w:eastAsia="宋体" w:cs="Times New Roman"/>
                      <w:szCs w:val="21"/>
                    </w:rPr>
                  </w:pPr>
                  <w:r>
                    <w:rPr>
                      <w:rFonts w:hint="eastAsia" w:ascii="Times New Roman" w:hAnsi="Times New Roman" w:eastAsia="宋体" w:cs="Times New Roman"/>
                      <w:szCs w:val="21"/>
                    </w:rPr>
                    <w:t>减震基础+</w:t>
                  </w:r>
                  <w:r>
                    <w:rPr>
                      <w:rFonts w:ascii="Times New Roman" w:hAnsi="Times New Roman" w:eastAsia="宋体" w:cs="Times New Roman"/>
                      <w:szCs w:val="21"/>
                    </w:rPr>
                    <w:t>厂房隔声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6" w:type="pct"/>
                  <w:vMerge w:val="continue"/>
                  <w:vAlign w:val="center"/>
                </w:tcPr>
                <w:p>
                  <w:pPr>
                    <w:snapToGrid w:val="0"/>
                    <w:jc w:val="center"/>
                    <w:rPr>
                      <w:rFonts w:ascii="Times New Roman" w:hAnsi="Times New Roman" w:eastAsia="宋体" w:cs="Times New Roman"/>
                      <w:szCs w:val="21"/>
                    </w:rPr>
                  </w:pPr>
                </w:p>
              </w:tc>
              <w:tc>
                <w:tcPr>
                  <w:tcW w:w="402"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N</w:t>
                  </w:r>
                  <w:r>
                    <w:rPr>
                      <w:rFonts w:hint="eastAsia" w:ascii="Times New Roman" w:hAnsi="Times New Roman" w:eastAsia="宋体" w:cs="Times New Roman"/>
                      <w:szCs w:val="21"/>
                      <w:vertAlign w:val="subscript"/>
                    </w:rPr>
                    <w:t>4</w:t>
                  </w:r>
                </w:p>
              </w:tc>
              <w:tc>
                <w:tcPr>
                  <w:tcW w:w="1539" w:type="pct"/>
                  <w:vAlign w:val="center"/>
                </w:tcPr>
                <w:p>
                  <w:pPr>
                    <w:adjustRightInd w:val="0"/>
                    <w:snapToGrid w:val="0"/>
                    <w:jc w:val="center"/>
                    <w:rPr>
                      <w:rFonts w:ascii="Times New Roman" w:hAnsi="宋体" w:eastAsia="宋体" w:cs="Times New Roman"/>
                      <w:kern w:val="0"/>
                      <w:szCs w:val="21"/>
                    </w:rPr>
                  </w:pPr>
                  <w:r>
                    <w:rPr>
                      <w:rFonts w:ascii="Times New Roman" w:hAnsi="宋体" w:eastAsia="宋体" w:cs="Times New Roman"/>
                      <w:kern w:val="0"/>
                      <w:szCs w:val="21"/>
                    </w:rPr>
                    <w:t>甩干机</w:t>
                  </w:r>
                </w:p>
              </w:tc>
              <w:tc>
                <w:tcPr>
                  <w:tcW w:w="723" w:type="pct"/>
                  <w:vMerge w:val="continue"/>
                  <w:vAlign w:val="center"/>
                </w:tcPr>
                <w:p>
                  <w:pPr>
                    <w:snapToGrid w:val="0"/>
                    <w:jc w:val="center"/>
                    <w:rPr>
                      <w:rFonts w:ascii="Times New Roman" w:hAnsi="Times New Roman" w:eastAsia="宋体" w:cs="Times New Roman"/>
                      <w:szCs w:val="21"/>
                    </w:rPr>
                  </w:pPr>
                </w:p>
              </w:tc>
              <w:tc>
                <w:tcPr>
                  <w:tcW w:w="1950" w:type="pct"/>
                  <w:vAlign w:val="center"/>
                </w:tcPr>
                <w:p>
                  <w:pPr>
                    <w:snapToGrid w:val="0"/>
                    <w:jc w:val="center"/>
                    <w:rPr>
                      <w:rFonts w:ascii="Times New Roman" w:hAnsi="Times New Roman" w:eastAsia="宋体" w:cs="Times New Roman"/>
                      <w:szCs w:val="21"/>
                    </w:rPr>
                  </w:pPr>
                  <w:r>
                    <w:rPr>
                      <w:rFonts w:hint="eastAsia" w:ascii="Times New Roman" w:hAnsi="Times New Roman" w:eastAsia="宋体" w:cs="Times New Roman"/>
                      <w:szCs w:val="21"/>
                    </w:rPr>
                    <w:t>减震基础+</w:t>
                  </w:r>
                  <w:r>
                    <w:rPr>
                      <w:rFonts w:ascii="Times New Roman" w:hAnsi="Times New Roman" w:eastAsia="宋体" w:cs="Times New Roman"/>
                      <w:szCs w:val="21"/>
                    </w:rPr>
                    <w:t>厂房隔声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6" w:type="pct"/>
                  <w:vMerge w:val="continue"/>
                  <w:vAlign w:val="center"/>
                </w:tcPr>
                <w:p>
                  <w:pPr>
                    <w:snapToGrid w:val="0"/>
                    <w:jc w:val="center"/>
                    <w:rPr>
                      <w:rFonts w:ascii="Times New Roman" w:hAnsi="Times New Roman" w:eastAsia="宋体" w:cs="Times New Roman"/>
                      <w:szCs w:val="21"/>
                    </w:rPr>
                  </w:pPr>
                </w:p>
              </w:tc>
              <w:tc>
                <w:tcPr>
                  <w:tcW w:w="402"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N</w:t>
                  </w:r>
                  <w:r>
                    <w:rPr>
                      <w:rFonts w:hint="eastAsia" w:ascii="Times New Roman" w:hAnsi="Times New Roman" w:eastAsia="宋体" w:cs="Times New Roman"/>
                      <w:szCs w:val="21"/>
                      <w:vertAlign w:val="subscript"/>
                    </w:rPr>
                    <w:t>5</w:t>
                  </w:r>
                </w:p>
              </w:tc>
              <w:tc>
                <w:tcPr>
                  <w:tcW w:w="1539" w:type="pct"/>
                  <w:vAlign w:val="center"/>
                </w:tcPr>
                <w:p>
                  <w:pPr>
                    <w:adjustRightInd w:val="0"/>
                    <w:snapToGrid w:val="0"/>
                    <w:jc w:val="center"/>
                    <w:rPr>
                      <w:rFonts w:ascii="Times New Roman" w:hAnsi="宋体" w:eastAsia="宋体" w:cs="Times New Roman"/>
                      <w:kern w:val="0"/>
                      <w:szCs w:val="21"/>
                    </w:rPr>
                  </w:pPr>
                  <w:r>
                    <w:rPr>
                      <w:rFonts w:ascii="Times New Roman" w:hAnsi="宋体" w:eastAsia="宋体" w:cs="Times New Roman"/>
                      <w:kern w:val="0"/>
                      <w:szCs w:val="21"/>
                    </w:rPr>
                    <w:t>风选机</w:t>
                  </w:r>
                </w:p>
              </w:tc>
              <w:tc>
                <w:tcPr>
                  <w:tcW w:w="723" w:type="pct"/>
                  <w:vMerge w:val="continue"/>
                  <w:vAlign w:val="center"/>
                </w:tcPr>
                <w:p>
                  <w:pPr>
                    <w:snapToGrid w:val="0"/>
                    <w:jc w:val="center"/>
                    <w:rPr>
                      <w:rFonts w:ascii="Times New Roman" w:hAnsi="Times New Roman" w:eastAsia="宋体" w:cs="Times New Roman"/>
                      <w:szCs w:val="21"/>
                    </w:rPr>
                  </w:pPr>
                </w:p>
              </w:tc>
              <w:tc>
                <w:tcPr>
                  <w:tcW w:w="1950" w:type="pct"/>
                  <w:vAlign w:val="center"/>
                </w:tcPr>
                <w:p>
                  <w:pPr>
                    <w:snapToGrid w:val="0"/>
                    <w:jc w:val="center"/>
                    <w:rPr>
                      <w:rFonts w:ascii="Times New Roman" w:hAnsi="Times New Roman" w:eastAsia="宋体" w:cs="Times New Roman"/>
                      <w:szCs w:val="21"/>
                    </w:rPr>
                  </w:pPr>
                  <w:r>
                    <w:rPr>
                      <w:rFonts w:hint="eastAsia" w:ascii="Times New Roman" w:hAnsi="Times New Roman" w:eastAsia="宋体" w:cs="Times New Roman"/>
                      <w:szCs w:val="21"/>
                    </w:rPr>
                    <w:t>减震基础+</w:t>
                  </w:r>
                  <w:r>
                    <w:rPr>
                      <w:rFonts w:ascii="Times New Roman" w:hAnsi="Times New Roman" w:eastAsia="宋体" w:cs="Times New Roman"/>
                      <w:szCs w:val="21"/>
                    </w:rPr>
                    <w:t>厂房隔声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6" w:type="pct"/>
                  <w:vMerge w:val="restar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固体废物</w:t>
                  </w:r>
                </w:p>
              </w:tc>
              <w:tc>
                <w:tcPr>
                  <w:tcW w:w="402"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S</w:t>
                  </w:r>
                  <w:r>
                    <w:rPr>
                      <w:rFonts w:hint="eastAsia" w:ascii="Times New Roman" w:hAnsi="Times New Roman" w:eastAsia="宋体" w:cs="Times New Roman"/>
                      <w:szCs w:val="21"/>
                      <w:vertAlign w:val="subscript"/>
                    </w:rPr>
                    <w:t>1</w:t>
                  </w:r>
                </w:p>
              </w:tc>
              <w:tc>
                <w:tcPr>
                  <w:tcW w:w="1539" w:type="pct"/>
                  <w:vAlign w:val="center"/>
                </w:tcPr>
                <w:p>
                  <w:pPr>
                    <w:snapToGrid w:val="0"/>
                    <w:jc w:val="center"/>
                    <w:rPr>
                      <w:rFonts w:ascii="Times New Roman" w:hAnsi="Times New Roman" w:eastAsia="宋体" w:cs="Times New Roman"/>
                      <w:szCs w:val="21"/>
                    </w:rPr>
                  </w:pPr>
                  <w:r>
                    <w:rPr>
                      <w:rFonts w:hint="eastAsia" w:ascii="Times New Roman" w:hAnsi="Times New Roman" w:eastAsia="宋体" w:cs="Times New Roman"/>
                      <w:szCs w:val="21"/>
                    </w:rPr>
                    <w:t>污水处理系统</w:t>
                  </w:r>
                </w:p>
              </w:tc>
              <w:tc>
                <w:tcPr>
                  <w:tcW w:w="723" w:type="pct"/>
                  <w:vAlign w:val="center"/>
                </w:tcPr>
                <w:p>
                  <w:pPr>
                    <w:snapToGrid w:val="0"/>
                    <w:jc w:val="center"/>
                    <w:rPr>
                      <w:rFonts w:ascii="Times New Roman" w:hAnsi="Times New Roman" w:eastAsia="宋体" w:cs="Times New Roman"/>
                      <w:szCs w:val="21"/>
                    </w:rPr>
                  </w:pPr>
                  <w:r>
                    <w:rPr>
                      <w:rFonts w:hint="eastAsia" w:ascii="Times New Roman" w:hAnsi="Times New Roman" w:eastAsia="宋体" w:cs="Times New Roman"/>
                      <w:kern w:val="24"/>
                      <w:szCs w:val="21"/>
                    </w:rPr>
                    <w:t>絮凝沉淀物</w:t>
                  </w:r>
                </w:p>
              </w:tc>
              <w:tc>
                <w:tcPr>
                  <w:tcW w:w="1950" w:type="pct"/>
                  <w:vAlign w:val="center"/>
                </w:tcPr>
                <w:p>
                  <w:pPr>
                    <w:jc w:val="left"/>
                    <w:rPr>
                      <w:rFonts w:ascii="Times New Roman" w:hAnsi="Times New Roman" w:eastAsia="宋体" w:cs="Times New Roman"/>
                      <w:szCs w:val="21"/>
                    </w:rPr>
                  </w:pPr>
                  <w:r>
                    <w:rPr>
                      <w:rFonts w:hint="eastAsia" w:ascii="宋体" w:hAnsi="Times New Roman" w:eastAsia="宋体" w:cs="宋体"/>
                      <w:kern w:val="0"/>
                      <w:szCs w:val="21"/>
                    </w:rPr>
                    <w:t>污水处理系统产生的</w:t>
                  </w:r>
                  <w:r>
                    <w:rPr>
                      <w:rFonts w:hint="eastAsia" w:ascii="Times New Roman" w:hAnsi="Times New Roman" w:eastAsia="宋体" w:cs="Times New Roman"/>
                      <w:kern w:val="24"/>
                      <w:szCs w:val="21"/>
                    </w:rPr>
                    <w:t>絮凝沉淀物</w:t>
                  </w:r>
                  <w:r>
                    <w:rPr>
                      <w:rFonts w:hint="eastAsia" w:ascii="宋体" w:hAnsi="Times New Roman" w:eastAsia="宋体" w:cs="宋体"/>
                      <w:kern w:val="0"/>
                      <w:szCs w:val="21"/>
                    </w:rPr>
                    <w:t>定期通过吸污车运至有处理能力的单位进行处理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6" w:type="pct"/>
                  <w:vMerge w:val="continue"/>
                  <w:vAlign w:val="center"/>
                </w:tcPr>
                <w:p>
                  <w:pPr>
                    <w:snapToGrid w:val="0"/>
                    <w:jc w:val="center"/>
                    <w:rPr>
                      <w:rFonts w:ascii="Times New Roman" w:hAnsi="Times New Roman" w:eastAsia="宋体" w:cs="Times New Roman"/>
                      <w:szCs w:val="21"/>
                    </w:rPr>
                  </w:pPr>
                </w:p>
              </w:tc>
              <w:tc>
                <w:tcPr>
                  <w:tcW w:w="402"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S</w:t>
                  </w:r>
                  <w:r>
                    <w:rPr>
                      <w:rFonts w:hint="eastAsia" w:ascii="Times New Roman" w:hAnsi="Times New Roman" w:eastAsia="宋体" w:cs="Times New Roman"/>
                      <w:szCs w:val="21"/>
                      <w:vertAlign w:val="subscript"/>
                    </w:rPr>
                    <w:t>2</w:t>
                  </w:r>
                </w:p>
              </w:tc>
              <w:tc>
                <w:tcPr>
                  <w:tcW w:w="1539" w:type="pct"/>
                  <w:vAlign w:val="center"/>
                </w:tcPr>
                <w:p>
                  <w:pPr>
                    <w:snapToGrid w:val="0"/>
                    <w:jc w:val="center"/>
                    <w:rPr>
                      <w:rFonts w:ascii="Times New Roman" w:hAnsi="Times New Roman" w:eastAsia="宋体" w:cs="Times New Roman"/>
                      <w:szCs w:val="21"/>
                    </w:rPr>
                  </w:pPr>
                  <w:r>
                    <w:rPr>
                      <w:rFonts w:hint="eastAsia" w:ascii="Times New Roman" w:hAnsi="Times New Roman" w:eastAsia="宋体" w:cs="Times New Roman"/>
                      <w:szCs w:val="21"/>
                    </w:rPr>
                    <w:t>拆包</w:t>
                  </w:r>
                </w:p>
              </w:tc>
              <w:tc>
                <w:tcPr>
                  <w:tcW w:w="723" w:type="pct"/>
                  <w:vAlign w:val="center"/>
                </w:tcPr>
                <w:p>
                  <w:pPr>
                    <w:snapToGrid w:val="0"/>
                    <w:jc w:val="center"/>
                    <w:rPr>
                      <w:rFonts w:ascii="Times New Roman" w:hAnsi="Times New Roman" w:eastAsia="宋体" w:cs="Times New Roman"/>
                      <w:szCs w:val="21"/>
                    </w:rPr>
                  </w:pPr>
                  <w:r>
                    <w:rPr>
                      <w:rFonts w:hint="eastAsia" w:ascii="Times New Roman" w:hAnsi="Times New Roman" w:eastAsia="宋体" w:cs="Times New Roman"/>
                      <w:szCs w:val="21"/>
                    </w:rPr>
                    <w:t>废包装袋</w:t>
                  </w:r>
                </w:p>
              </w:tc>
              <w:tc>
                <w:tcPr>
                  <w:tcW w:w="1950" w:type="pct"/>
                  <w:vAlign w:val="center"/>
                </w:tcPr>
                <w:p>
                  <w:pPr>
                    <w:jc w:val="center"/>
                    <w:rPr>
                      <w:rFonts w:ascii="Times New Roman" w:hAnsi="Times New Roman" w:eastAsia="宋体" w:cs="Times New Roman"/>
                      <w:szCs w:val="21"/>
                    </w:rPr>
                  </w:pPr>
                  <w:r>
                    <w:t>返回收购站再利用</w:t>
                  </w:r>
                  <w:r>
                    <w:rPr>
                      <w:rFonts w:ascii="Times New Roman" w:hAnsi="Times New Roman" w:eastAsia="宋体" w:cs="Times New Roman"/>
                      <w:szCs w:val="21"/>
                    </w:rPr>
                    <w:t>，不外排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6" w:type="pct"/>
                  <w:vMerge w:val="continue"/>
                  <w:vAlign w:val="center"/>
                </w:tcPr>
                <w:p>
                  <w:pPr>
                    <w:snapToGrid w:val="0"/>
                    <w:jc w:val="center"/>
                    <w:rPr>
                      <w:rFonts w:ascii="Times New Roman" w:hAnsi="Times New Roman" w:eastAsia="宋体" w:cs="Times New Roman"/>
                      <w:szCs w:val="21"/>
                    </w:rPr>
                  </w:pPr>
                </w:p>
              </w:tc>
              <w:tc>
                <w:tcPr>
                  <w:tcW w:w="402"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S</w:t>
                  </w:r>
                  <w:r>
                    <w:rPr>
                      <w:rFonts w:hint="eastAsia" w:ascii="Times New Roman" w:hAnsi="Times New Roman" w:eastAsia="宋体" w:cs="Times New Roman"/>
                      <w:szCs w:val="21"/>
                      <w:vertAlign w:val="subscript"/>
                    </w:rPr>
                    <w:t>3</w:t>
                  </w:r>
                </w:p>
              </w:tc>
              <w:tc>
                <w:tcPr>
                  <w:tcW w:w="1539" w:type="pct"/>
                  <w:vAlign w:val="center"/>
                </w:tcPr>
                <w:p>
                  <w:pPr>
                    <w:snapToGrid w:val="0"/>
                    <w:jc w:val="center"/>
                    <w:rPr>
                      <w:rFonts w:ascii="Times New Roman" w:hAnsi="Times New Roman" w:eastAsia="宋体" w:cs="Times New Roman"/>
                      <w:szCs w:val="21"/>
                    </w:rPr>
                  </w:pPr>
                  <w:r>
                    <w:rPr>
                      <w:rFonts w:hint="eastAsia" w:ascii="Times New Roman" w:hAnsi="Times New Roman" w:eastAsia="宋体" w:cs="Times New Roman"/>
                      <w:szCs w:val="21"/>
                    </w:rPr>
                    <w:t>风选</w:t>
                  </w:r>
                </w:p>
              </w:tc>
              <w:tc>
                <w:tcPr>
                  <w:tcW w:w="723" w:type="pct"/>
                  <w:vAlign w:val="center"/>
                </w:tcPr>
                <w:p>
                  <w:pPr>
                    <w:snapToGrid w:val="0"/>
                    <w:jc w:val="center"/>
                    <w:rPr>
                      <w:rFonts w:ascii="Times New Roman" w:hAnsi="Times New Roman" w:eastAsia="宋体" w:cs="Times New Roman"/>
                      <w:szCs w:val="21"/>
                    </w:rPr>
                  </w:pPr>
                  <w:r>
                    <w:rPr>
                      <w:rFonts w:hint="eastAsia" w:ascii="Times New Roman" w:hAnsi="Times New Roman" w:eastAsia="宋体" w:cs="Times New Roman"/>
                      <w:szCs w:val="21"/>
                    </w:rPr>
                    <w:t>玻璃瓶等杂物</w:t>
                  </w:r>
                </w:p>
              </w:tc>
              <w:tc>
                <w:tcPr>
                  <w:tcW w:w="1950" w:type="pc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收集后外售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6" w:type="pct"/>
                  <w:vMerge w:val="continue"/>
                  <w:vAlign w:val="center"/>
                </w:tcPr>
                <w:p>
                  <w:pPr>
                    <w:snapToGrid w:val="0"/>
                    <w:jc w:val="center"/>
                    <w:rPr>
                      <w:rFonts w:ascii="Times New Roman" w:hAnsi="Times New Roman" w:eastAsia="宋体" w:cs="Times New Roman"/>
                      <w:szCs w:val="21"/>
                    </w:rPr>
                  </w:pPr>
                </w:p>
              </w:tc>
              <w:tc>
                <w:tcPr>
                  <w:tcW w:w="402"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S</w:t>
                  </w:r>
                  <w:r>
                    <w:rPr>
                      <w:rFonts w:hint="eastAsia" w:ascii="Times New Roman" w:hAnsi="Times New Roman" w:eastAsia="宋体" w:cs="Times New Roman"/>
                      <w:szCs w:val="21"/>
                      <w:vertAlign w:val="subscript"/>
                    </w:rPr>
                    <w:t>4</w:t>
                  </w:r>
                </w:p>
              </w:tc>
              <w:tc>
                <w:tcPr>
                  <w:tcW w:w="1539" w:type="pct"/>
                  <w:vAlign w:val="center"/>
                </w:tcPr>
                <w:p>
                  <w:pPr>
                    <w:snapToGrid w:val="0"/>
                    <w:jc w:val="center"/>
                    <w:rPr>
                      <w:rFonts w:ascii="Times New Roman" w:hAnsi="Times New Roman" w:eastAsia="宋体" w:cs="Times New Roman"/>
                      <w:szCs w:val="21"/>
                    </w:rPr>
                  </w:pPr>
                  <w:r>
                    <w:rPr>
                      <w:rFonts w:hint="eastAsia" w:ascii="Times New Roman" w:hAnsi="Times New Roman" w:eastAsia="宋体" w:cs="Times New Roman"/>
                      <w:szCs w:val="21"/>
                    </w:rPr>
                    <w:t>隔油池</w:t>
                  </w:r>
                </w:p>
              </w:tc>
              <w:tc>
                <w:tcPr>
                  <w:tcW w:w="723" w:type="pct"/>
                  <w:vAlign w:val="center"/>
                </w:tcPr>
                <w:p>
                  <w:pPr>
                    <w:snapToGrid w:val="0"/>
                    <w:jc w:val="center"/>
                    <w:rPr>
                      <w:rFonts w:ascii="Times New Roman" w:hAnsi="Times New Roman" w:eastAsia="宋体" w:cs="Times New Roman"/>
                      <w:szCs w:val="21"/>
                    </w:rPr>
                  </w:pPr>
                  <w:r>
                    <w:rPr>
                      <w:rFonts w:hint="eastAsia" w:ascii="Times New Roman" w:hAnsi="Times New Roman" w:eastAsia="宋体" w:cs="Times New Roman"/>
                      <w:szCs w:val="21"/>
                    </w:rPr>
                    <w:t>植物油渣</w:t>
                  </w:r>
                </w:p>
              </w:tc>
              <w:tc>
                <w:tcPr>
                  <w:tcW w:w="1950" w:type="pc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定期交资质单位进行处置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6" w:type="pct"/>
                  <w:vMerge w:val="continue"/>
                  <w:vAlign w:val="center"/>
                </w:tcPr>
                <w:p>
                  <w:pPr>
                    <w:snapToGrid w:val="0"/>
                    <w:jc w:val="center"/>
                    <w:rPr>
                      <w:rFonts w:ascii="Times New Roman" w:hAnsi="Times New Roman" w:eastAsia="宋体" w:cs="Times New Roman"/>
                      <w:szCs w:val="21"/>
                    </w:rPr>
                  </w:pPr>
                </w:p>
              </w:tc>
              <w:tc>
                <w:tcPr>
                  <w:tcW w:w="402"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S</w:t>
                  </w:r>
                  <w:r>
                    <w:rPr>
                      <w:rFonts w:hint="eastAsia" w:ascii="Times New Roman" w:hAnsi="Times New Roman" w:eastAsia="宋体" w:cs="Times New Roman"/>
                      <w:szCs w:val="21"/>
                      <w:vertAlign w:val="subscript"/>
                    </w:rPr>
                    <w:t>5</w:t>
                  </w:r>
                </w:p>
              </w:tc>
              <w:tc>
                <w:tcPr>
                  <w:tcW w:w="1539"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职工生活</w:t>
                  </w:r>
                </w:p>
              </w:tc>
              <w:tc>
                <w:tcPr>
                  <w:tcW w:w="723"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生活垃圾</w:t>
                  </w:r>
                </w:p>
              </w:tc>
              <w:tc>
                <w:tcPr>
                  <w:tcW w:w="1950"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收集后交环卫部门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6" w:type="pct"/>
                  <w:vMerge w:val="continue"/>
                  <w:vAlign w:val="center"/>
                </w:tcPr>
                <w:p>
                  <w:pPr>
                    <w:snapToGrid w:val="0"/>
                    <w:jc w:val="center"/>
                    <w:rPr>
                      <w:rFonts w:ascii="Times New Roman" w:hAnsi="Times New Roman" w:eastAsia="宋体" w:cs="Times New Roman"/>
                      <w:szCs w:val="21"/>
                    </w:rPr>
                  </w:pPr>
                </w:p>
              </w:tc>
              <w:tc>
                <w:tcPr>
                  <w:tcW w:w="402"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S</w:t>
                  </w:r>
                  <w:r>
                    <w:rPr>
                      <w:rFonts w:hint="eastAsia" w:ascii="Times New Roman" w:hAnsi="Times New Roman" w:eastAsia="宋体" w:cs="Times New Roman"/>
                      <w:szCs w:val="21"/>
                      <w:vertAlign w:val="subscript"/>
                    </w:rPr>
                    <w:t>6</w:t>
                  </w:r>
                </w:p>
              </w:tc>
              <w:tc>
                <w:tcPr>
                  <w:tcW w:w="1539" w:type="pct"/>
                  <w:vMerge w:val="restart"/>
                  <w:vAlign w:val="center"/>
                </w:tcPr>
                <w:p>
                  <w:pPr>
                    <w:snapToGrid w:val="0"/>
                    <w:jc w:val="center"/>
                    <w:rPr>
                      <w:rFonts w:ascii="Times New Roman" w:hAnsi="Times New Roman" w:eastAsia="宋体" w:cs="Times New Roman"/>
                      <w:szCs w:val="21"/>
                    </w:rPr>
                  </w:pPr>
                  <w:r>
                    <w:rPr>
                      <w:rFonts w:hint="eastAsia" w:ascii="Times New Roman" w:hAnsi="Times New Roman" w:eastAsia="宋体" w:cs="Times New Roman"/>
                      <w:szCs w:val="21"/>
                    </w:rPr>
                    <w:t>设备维修</w:t>
                  </w:r>
                </w:p>
              </w:tc>
              <w:tc>
                <w:tcPr>
                  <w:tcW w:w="723" w:type="pct"/>
                  <w:vAlign w:val="center"/>
                </w:tcPr>
                <w:p>
                  <w:pPr>
                    <w:snapToGrid w:val="0"/>
                    <w:jc w:val="center"/>
                    <w:rPr>
                      <w:rFonts w:ascii="Times New Roman" w:hAnsi="Times New Roman" w:eastAsia="宋体" w:cs="Times New Roman"/>
                      <w:szCs w:val="21"/>
                    </w:rPr>
                  </w:pPr>
                  <w:r>
                    <w:rPr>
                      <w:rFonts w:hint="eastAsia" w:ascii="Times New Roman" w:hAnsi="Times New Roman" w:eastAsia="宋体" w:cs="Times New Roman"/>
                      <w:szCs w:val="21"/>
                    </w:rPr>
                    <w:t>废机油</w:t>
                  </w:r>
                </w:p>
              </w:tc>
              <w:tc>
                <w:tcPr>
                  <w:tcW w:w="1950" w:type="pct"/>
                  <w:vMerge w:val="restart"/>
                  <w:vAlign w:val="center"/>
                </w:tcPr>
                <w:p>
                  <w:pPr>
                    <w:snapToGrid w:val="0"/>
                    <w:jc w:val="center"/>
                    <w:rPr>
                      <w:rFonts w:ascii="Times New Roman" w:hAnsi="Times New Roman" w:eastAsia="宋体" w:cs="Times New Roman"/>
                      <w:szCs w:val="21"/>
                    </w:rPr>
                  </w:pPr>
                  <w:r>
                    <w:rPr>
                      <w:rFonts w:hint="eastAsia" w:ascii="Times New Roman" w:hAnsi="Times New Roman" w:eastAsia="宋体" w:cs="Times New Roman"/>
                      <w:szCs w:val="21"/>
                    </w:rPr>
                    <w:t>暂存在危废间内，定期交资质单位进行处理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6" w:type="pct"/>
                  <w:vMerge w:val="continue"/>
                  <w:vAlign w:val="center"/>
                </w:tcPr>
                <w:p>
                  <w:pPr>
                    <w:snapToGrid w:val="0"/>
                    <w:jc w:val="center"/>
                    <w:rPr>
                      <w:rFonts w:ascii="Times New Roman" w:hAnsi="Times New Roman" w:eastAsia="宋体" w:cs="Times New Roman"/>
                      <w:szCs w:val="21"/>
                    </w:rPr>
                  </w:pPr>
                </w:p>
              </w:tc>
              <w:tc>
                <w:tcPr>
                  <w:tcW w:w="402"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S</w:t>
                  </w:r>
                  <w:r>
                    <w:rPr>
                      <w:rFonts w:hint="eastAsia" w:ascii="Times New Roman" w:hAnsi="Times New Roman" w:eastAsia="宋体" w:cs="Times New Roman"/>
                      <w:szCs w:val="21"/>
                      <w:vertAlign w:val="subscript"/>
                    </w:rPr>
                    <w:t>7</w:t>
                  </w:r>
                </w:p>
              </w:tc>
              <w:tc>
                <w:tcPr>
                  <w:tcW w:w="1539" w:type="pct"/>
                  <w:vMerge w:val="continue"/>
                  <w:vAlign w:val="center"/>
                </w:tcPr>
                <w:p>
                  <w:pPr>
                    <w:snapToGrid w:val="0"/>
                    <w:jc w:val="center"/>
                    <w:rPr>
                      <w:rFonts w:ascii="Times New Roman" w:hAnsi="Times New Roman" w:eastAsia="宋体" w:cs="Times New Roman"/>
                      <w:szCs w:val="21"/>
                    </w:rPr>
                  </w:pPr>
                </w:p>
              </w:tc>
              <w:tc>
                <w:tcPr>
                  <w:tcW w:w="723" w:type="pct"/>
                  <w:vAlign w:val="center"/>
                </w:tcPr>
                <w:p>
                  <w:pPr>
                    <w:snapToGrid w:val="0"/>
                    <w:jc w:val="center"/>
                    <w:rPr>
                      <w:rFonts w:ascii="Times New Roman" w:hAnsi="Times New Roman" w:eastAsia="宋体" w:cs="Times New Roman"/>
                      <w:szCs w:val="21"/>
                    </w:rPr>
                  </w:pPr>
                  <w:r>
                    <w:rPr>
                      <w:rFonts w:hint="eastAsia" w:ascii="Times New Roman" w:hAnsi="Times New Roman" w:eastAsia="宋体" w:cs="Times New Roman"/>
                      <w:szCs w:val="21"/>
                    </w:rPr>
                    <w:t>废机油桶</w:t>
                  </w:r>
                </w:p>
              </w:tc>
              <w:tc>
                <w:tcPr>
                  <w:tcW w:w="1950" w:type="pct"/>
                  <w:vMerge w:val="continue"/>
                  <w:vAlign w:val="center"/>
                </w:tcPr>
                <w:p>
                  <w:pPr>
                    <w:snapToGrid w:val="0"/>
                    <w:jc w:val="center"/>
                    <w:rPr>
                      <w:rFonts w:ascii="Times New Roman" w:hAnsi="Times New Roman" w:eastAsia="宋体" w:cs="Times New Roman"/>
                      <w:szCs w:val="21"/>
                    </w:rPr>
                  </w:pPr>
                </w:p>
              </w:tc>
            </w:tr>
          </w:tbl>
          <w:p>
            <w:pPr>
              <w:adjustRightInd w:val="0"/>
              <w:snapToGrid w:val="0"/>
              <w:spacing w:line="360" w:lineRule="auto"/>
              <w:ind w:firstLine="420" w:firstLineChars="200"/>
              <w:jc w:val="left"/>
              <w:rPr>
                <w:rFonts w:ascii="Times New Roman" w:hAnsi="Times New Roman" w:eastAsia="宋体" w:cs="Times New Roman"/>
                <w:bCs/>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19" w:hRule="atLeast"/>
          <w:jc w:val="center"/>
        </w:trPr>
        <w:tc>
          <w:tcPr>
            <w:tcW w:w="823" w:type="dxa"/>
            <w:vAlign w:val="center"/>
          </w:tcPr>
          <w:p>
            <w:pPr>
              <w:widowControl/>
              <w:adjustRightInd w:val="0"/>
              <w:snapToGrid w:val="0"/>
              <w:spacing w:line="192" w:lineRule="auto"/>
              <w:jc w:val="center"/>
              <w:rPr>
                <w:rFonts w:ascii="宋体" w:hAnsi="宋体" w:eastAsia="宋体" w:cs="宋体"/>
                <w:kern w:val="0"/>
                <w:szCs w:val="21"/>
              </w:rPr>
            </w:pPr>
            <w:r>
              <w:rPr>
                <w:rFonts w:hint="eastAsia" w:ascii="宋体" w:hAnsi="宋体" w:eastAsia="宋体" w:cs="宋体"/>
                <w:bCs/>
                <w:szCs w:val="21"/>
              </w:rPr>
              <w:t>与项目有关的原有环境污染问题</w:t>
            </w:r>
          </w:p>
        </w:tc>
        <w:tc>
          <w:tcPr>
            <w:tcW w:w="8161" w:type="dxa"/>
          </w:tcPr>
          <w:p>
            <w:pPr>
              <w:adjustRightInd w:val="0"/>
              <w:snapToGrid w:val="0"/>
              <w:spacing w:line="360" w:lineRule="auto"/>
              <w:ind w:firstLine="440" w:firstLineChars="200"/>
              <w:jc w:val="left"/>
              <w:rPr>
                <w:rFonts w:ascii="Times New Roman" w:hAnsi="Times New Roman" w:eastAsia="宋体" w:cs="Times New Roman"/>
                <w:bCs/>
                <w:kern w:val="0"/>
                <w:szCs w:val="21"/>
              </w:rPr>
            </w:pPr>
            <w:r>
              <w:rPr>
                <w:rFonts w:hint="eastAsia" w:ascii="宋体" w:hAnsi="宋体" w:eastAsia="宋体" w:cs="Times New Roman"/>
                <w:bCs/>
                <w:kern w:val="0"/>
                <w:sz w:val="22"/>
                <w:szCs w:val="21"/>
              </w:rPr>
              <w:t>本项目为新建项目，项目租用的场地已闲置多年，不存在原有污染。</w:t>
            </w: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p>
            <w:pPr>
              <w:adjustRightInd w:val="0"/>
              <w:snapToGrid w:val="0"/>
              <w:spacing w:line="360" w:lineRule="auto"/>
              <w:ind w:firstLine="420" w:firstLineChars="200"/>
              <w:jc w:val="left"/>
              <w:rPr>
                <w:rFonts w:ascii="Times New Roman" w:hAnsi="Times New Roman" w:eastAsia="宋体" w:cs="Times New Roman"/>
                <w:bCs/>
                <w:kern w:val="0"/>
                <w:szCs w:val="21"/>
              </w:rPr>
            </w:pPr>
          </w:p>
        </w:tc>
      </w:tr>
    </w:tbl>
    <w:p>
      <w:pPr>
        <w:ind w:firstLine="420"/>
        <w:rPr>
          <w:rFonts w:ascii="Times New Roman" w:hAnsi="Times New Roman" w:eastAsia="宋体" w:cs="Times New Roman"/>
          <w:szCs w:val="24"/>
        </w:rPr>
        <w:sectPr>
          <w:pgSz w:w="11906" w:h="16838"/>
          <w:pgMar w:top="1701" w:right="1531" w:bottom="1701" w:left="1531" w:header="851" w:footer="851" w:gutter="0"/>
          <w:cols w:space="720" w:num="1"/>
          <w:docGrid w:linePitch="312" w:charSpace="0"/>
        </w:sectPr>
      </w:pPr>
    </w:p>
    <w:p>
      <w:pPr>
        <w:widowControl/>
        <w:adjustRightInd w:val="0"/>
        <w:snapToGrid w:val="0"/>
        <w:spacing w:line="14" w:lineRule="auto"/>
        <w:ind w:firstLine="600"/>
        <w:jc w:val="left"/>
        <w:rPr>
          <w:rFonts w:ascii="黑体" w:hAnsi="黑体" w:eastAsia="黑体" w:cs="Times New Roman"/>
          <w:snapToGrid w:val="0"/>
          <w:kern w:val="0"/>
          <w:sz w:val="30"/>
          <w:szCs w:val="30"/>
          <w:lang w:val="zh-CN"/>
        </w:rPr>
      </w:pPr>
    </w:p>
    <w:p>
      <w:pPr>
        <w:widowControl/>
        <w:spacing w:before="100" w:beforeAutospacing="1" w:after="100" w:afterAutospacing="1"/>
        <w:jc w:val="center"/>
        <w:outlineLvl w:val="0"/>
        <w:rPr>
          <w:rFonts w:ascii="黑体" w:hAnsi="黑体" w:eastAsia="黑体" w:cs="Times New Roman"/>
          <w:snapToGrid w:val="0"/>
          <w:kern w:val="0"/>
          <w:sz w:val="30"/>
          <w:szCs w:val="30"/>
          <w:lang w:val="zh-CN"/>
        </w:rPr>
      </w:pPr>
      <w:r>
        <w:rPr>
          <w:rFonts w:hint="eastAsia" w:ascii="黑体" w:hAnsi="黑体" w:eastAsia="黑体" w:cs="Times New Roman"/>
          <w:snapToGrid w:val="0"/>
          <w:kern w:val="0"/>
          <w:sz w:val="30"/>
          <w:szCs w:val="30"/>
          <w:lang w:val="zh-CN"/>
        </w:rPr>
        <w:t>三、区域环境质量现状、环境保护目标及评价标准</w:t>
      </w:r>
    </w:p>
    <w:tbl>
      <w:tblPr>
        <w:tblStyle w:val="1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24"/>
        <w:gridCol w:w="863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69" w:hRule="atLeast"/>
          <w:jc w:val="center"/>
        </w:trPr>
        <w:tc>
          <w:tcPr>
            <w:tcW w:w="800" w:type="dxa"/>
            <w:vAlign w:val="center"/>
          </w:tcPr>
          <w:p>
            <w:pPr>
              <w:adjustRightInd w:val="0"/>
              <w:snapToGrid w:val="0"/>
              <w:jc w:val="center"/>
              <w:rPr>
                <w:rFonts w:ascii="宋体" w:hAnsi="宋体" w:eastAsia="宋体" w:cs="宋体"/>
                <w:kern w:val="0"/>
                <w:szCs w:val="21"/>
              </w:rPr>
            </w:pPr>
            <w:r>
              <w:rPr>
                <w:rFonts w:hint="eastAsia" w:ascii="宋体" w:hAnsi="宋体" w:eastAsia="宋体" w:cs="宋体"/>
                <w:kern w:val="0"/>
                <w:szCs w:val="21"/>
              </w:rPr>
              <w:t>区域</w:t>
            </w:r>
          </w:p>
          <w:p>
            <w:pPr>
              <w:adjustRightInd w:val="0"/>
              <w:snapToGrid w:val="0"/>
              <w:jc w:val="center"/>
              <w:rPr>
                <w:rFonts w:ascii="宋体" w:hAnsi="宋体" w:eastAsia="宋体" w:cs="宋体"/>
                <w:kern w:val="0"/>
                <w:szCs w:val="21"/>
              </w:rPr>
            </w:pPr>
            <w:r>
              <w:rPr>
                <w:rFonts w:hint="eastAsia" w:ascii="宋体" w:hAnsi="宋体" w:eastAsia="宋体" w:cs="宋体"/>
                <w:kern w:val="0"/>
                <w:szCs w:val="21"/>
              </w:rPr>
              <w:t>环境</w:t>
            </w:r>
          </w:p>
          <w:p>
            <w:pPr>
              <w:adjustRightInd w:val="0"/>
              <w:snapToGrid w:val="0"/>
              <w:jc w:val="center"/>
              <w:rPr>
                <w:rFonts w:ascii="宋体" w:hAnsi="宋体" w:eastAsia="宋体" w:cs="宋体"/>
                <w:kern w:val="0"/>
                <w:szCs w:val="21"/>
              </w:rPr>
            </w:pPr>
            <w:r>
              <w:rPr>
                <w:rFonts w:hint="eastAsia" w:ascii="宋体" w:hAnsi="宋体" w:eastAsia="宋体" w:cs="宋体"/>
                <w:kern w:val="0"/>
                <w:szCs w:val="21"/>
              </w:rPr>
              <w:t>质量</w:t>
            </w:r>
          </w:p>
          <w:p>
            <w:pPr>
              <w:adjustRightInd w:val="0"/>
              <w:snapToGrid w:val="0"/>
              <w:jc w:val="center"/>
              <w:rPr>
                <w:rFonts w:ascii="宋体" w:hAnsi="宋体" w:eastAsia="宋体" w:cs="宋体"/>
                <w:kern w:val="0"/>
                <w:szCs w:val="21"/>
              </w:rPr>
            </w:pPr>
            <w:r>
              <w:rPr>
                <w:rFonts w:hint="eastAsia" w:ascii="宋体" w:hAnsi="宋体" w:eastAsia="宋体" w:cs="宋体"/>
                <w:kern w:val="0"/>
                <w:szCs w:val="21"/>
              </w:rPr>
              <w:t>现状</w:t>
            </w:r>
          </w:p>
        </w:tc>
        <w:tc>
          <w:tcPr>
            <w:tcW w:w="8190" w:type="dxa"/>
            <w:vAlign w:val="center"/>
          </w:tcPr>
          <w:p>
            <w:pPr>
              <w:adjustRightInd w:val="0"/>
              <w:snapToGrid w:val="0"/>
              <w:spacing w:before="120" w:line="312" w:lineRule="auto"/>
              <w:ind w:firstLine="482"/>
              <w:rPr>
                <w:rFonts w:ascii="Times New Roman" w:hAnsi="Times New Roman" w:eastAsia="宋体" w:cs="Times New Roman"/>
                <w:bCs/>
                <w:sz w:val="24"/>
                <w:szCs w:val="21"/>
              </w:rPr>
            </w:pPr>
            <w:r>
              <w:rPr>
                <w:rFonts w:ascii="Times New Roman" w:hAnsi="Times New Roman" w:eastAsia="宋体" w:cs="Times New Roman"/>
                <w:b/>
                <w:sz w:val="24"/>
                <w:szCs w:val="21"/>
              </w:rPr>
              <w:t>1 项目区域环境空气质量现状</w:t>
            </w:r>
          </w:p>
          <w:p>
            <w:pPr>
              <w:widowControl/>
              <w:adjustRightInd w:val="0"/>
              <w:snapToGrid w:val="0"/>
              <w:spacing w:line="480" w:lineRule="atLeast"/>
              <w:ind w:firstLine="420"/>
              <w:jc w:val="left"/>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环境空气质量现状数据引用秦皇岛市大气污染防治行动领导小组发布的《关于2021年12月份环境空气质量情况的通报》（秦气防领办[2022]3号）附件2“2021年1~12月份秦皇岛市各县区空气质量综合指数排名及各项污染物指标变化情况”表中抚宁区主要污染物浓度数据，具体数值见表12。</w:t>
            </w:r>
          </w:p>
          <w:p>
            <w:pPr>
              <w:adjustRightInd w:val="0"/>
              <w:snapToGrid w:val="0"/>
              <w:spacing w:before="120" w:beforeLines="50"/>
              <w:ind w:firstLine="422"/>
              <w:jc w:val="center"/>
              <w:rPr>
                <w:rFonts w:ascii="Times New Roman" w:hAnsi="Times New Roman" w:eastAsia="宋体" w:cs="Times New Roman"/>
                <w:b/>
                <w:szCs w:val="21"/>
              </w:rPr>
            </w:pPr>
            <w:r>
              <w:rPr>
                <w:rFonts w:hint="eastAsia" w:ascii="Times New Roman" w:hAnsi="Times New Roman" w:eastAsia="宋体" w:cs="Times New Roman"/>
                <w:b/>
                <w:szCs w:val="21"/>
              </w:rPr>
              <w:t>表 12 项目所在区域环境空气质量现状评价一览表</w:t>
            </w:r>
          </w:p>
          <w:tbl>
            <w:tblPr>
              <w:tblStyle w:val="1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61"/>
              <w:gridCol w:w="2162"/>
              <w:gridCol w:w="1376"/>
              <w:gridCol w:w="1278"/>
              <w:gridCol w:w="1045"/>
              <w:gridCol w:w="12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750" w:type="pct"/>
                  <w:vAlign w:val="center"/>
                </w:tcPr>
                <w:p>
                  <w:pPr>
                    <w:widowControl/>
                    <w:adjustRightInd w:val="0"/>
                    <w:jc w:val="center"/>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监测因子</w:t>
                  </w:r>
                </w:p>
              </w:tc>
              <w:tc>
                <w:tcPr>
                  <w:tcW w:w="1285"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浓度类别</w:t>
                  </w:r>
                </w:p>
              </w:tc>
              <w:tc>
                <w:tcPr>
                  <w:tcW w:w="818" w:type="pct"/>
                  <w:vAlign w:val="center"/>
                </w:tcPr>
                <w:p>
                  <w:pPr>
                    <w:widowControl/>
                    <w:adjustRightInd w:val="0"/>
                    <w:jc w:val="center"/>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监测值</w:t>
                  </w:r>
                </w:p>
              </w:tc>
              <w:tc>
                <w:tcPr>
                  <w:tcW w:w="760" w:type="pct"/>
                  <w:vAlign w:val="center"/>
                </w:tcPr>
                <w:p>
                  <w:pPr>
                    <w:widowControl/>
                    <w:adjustRightInd w:val="0"/>
                    <w:jc w:val="center"/>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标准值</w:t>
                  </w:r>
                </w:p>
              </w:tc>
              <w:tc>
                <w:tcPr>
                  <w:tcW w:w="621" w:type="pct"/>
                  <w:vAlign w:val="center"/>
                </w:tcPr>
                <w:p>
                  <w:pPr>
                    <w:widowControl/>
                    <w:adjustRightInd w:val="0"/>
                    <w:jc w:val="center"/>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单位</w:t>
                  </w:r>
                </w:p>
              </w:tc>
              <w:tc>
                <w:tcPr>
                  <w:tcW w:w="766" w:type="pct"/>
                  <w:vAlign w:val="center"/>
                </w:tcPr>
                <w:p>
                  <w:pPr>
                    <w:widowControl/>
                    <w:adjustRightInd w:val="0"/>
                    <w:jc w:val="center"/>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0" w:type="pct"/>
                  <w:vAlign w:val="center"/>
                </w:tcPr>
                <w:p>
                  <w:pPr>
                    <w:widowControl/>
                    <w:adjustRightInd w:val="0"/>
                    <w:jc w:val="center"/>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SO</w:t>
                  </w:r>
                  <w:r>
                    <w:rPr>
                      <w:rFonts w:ascii="Times New Roman" w:hAnsi="Times New Roman" w:eastAsia="宋体" w:cs="Times New Roman"/>
                      <w:kern w:val="24"/>
                      <w:szCs w:val="21"/>
                      <w:vertAlign w:val="subscript"/>
                    </w:rPr>
                    <w:t>2</w:t>
                  </w:r>
                </w:p>
              </w:tc>
              <w:tc>
                <w:tcPr>
                  <w:tcW w:w="1285"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年平均</w:t>
                  </w:r>
                </w:p>
              </w:tc>
              <w:tc>
                <w:tcPr>
                  <w:tcW w:w="818"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14</w:t>
                  </w:r>
                </w:p>
              </w:tc>
              <w:tc>
                <w:tcPr>
                  <w:tcW w:w="760"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60</w:t>
                  </w:r>
                </w:p>
              </w:tc>
              <w:tc>
                <w:tcPr>
                  <w:tcW w:w="621" w:type="pct"/>
                  <w:vAlign w:val="center"/>
                </w:tcPr>
                <w:p>
                  <w:pPr>
                    <w:widowControl/>
                    <w:adjustRightInd w:val="0"/>
                    <w:jc w:val="center"/>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μg/m</w:t>
                  </w:r>
                  <w:r>
                    <w:rPr>
                      <w:rFonts w:ascii="Times New Roman" w:hAnsi="Times New Roman" w:eastAsia="宋体" w:cs="Times New Roman"/>
                      <w:kern w:val="24"/>
                      <w:szCs w:val="21"/>
                      <w:vertAlign w:val="superscript"/>
                    </w:rPr>
                    <w:t>3</w:t>
                  </w:r>
                </w:p>
              </w:tc>
              <w:tc>
                <w:tcPr>
                  <w:tcW w:w="766"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750" w:type="pct"/>
                  <w:vAlign w:val="center"/>
                </w:tcPr>
                <w:p>
                  <w:pPr>
                    <w:widowControl/>
                    <w:adjustRightInd w:val="0"/>
                    <w:jc w:val="center"/>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NO</w:t>
                  </w:r>
                  <w:r>
                    <w:rPr>
                      <w:rFonts w:hint="eastAsia" w:ascii="Times New Roman" w:hAnsi="Times New Roman" w:eastAsia="宋体" w:cs="Times New Roman"/>
                      <w:kern w:val="24"/>
                      <w:szCs w:val="21"/>
                      <w:vertAlign w:val="subscript"/>
                    </w:rPr>
                    <w:t>2</w:t>
                  </w:r>
                </w:p>
              </w:tc>
              <w:tc>
                <w:tcPr>
                  <w:tcW w:w="1285"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年平均</w:t>
                  </w:r>
                </w:p>
              </w:tc>
              <w:tc>
                <w:tcPr>
                  <w:tcW w:w="818"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33</w:t>
                  </w:r>
                </w:p>
              </w:tc>
              <w:tc>
                <w:tcPr>
                  <w:tcW w:w="760"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40</w:t>
                  </w:r>
                </w:p>
              </w:tc>
              <w:tc>
                <w:tcPr>
                  <w:tcW w:w="621" w:type="pct"/>
                  <w:vAlign w:val="center"/>
                </w:tcPr>
                <w:p>
                  <w:pPr>
                    <w:widowControl/>
                    <w:adjustRightInd w:val="0"/>
                    <w:jc w:val="center"/>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μg/m</w:t>
                  </w:r>
                  <w:r>
                    <w:rPr>
                      <w:rFonts w:ascii="Times New Roman" w:hAnsi="Times New Roman" w:eastAsia="宋体" w:cs="Times New Roman"/>
                      <w:kern w:val="24"/>
                      <w:szCs w:val="21"/>
                      <w:vertAlign w:val="superscript"/>
                    </w:rPr>
                    <w:t>3</w:t>
                  </w:r>
                </w:p>
              </w:tc>
              <w:tc>
                <w:tcPr>
                  <w:tcW w:w="766"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0"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CO</w:t>
                  </w:r>
                </w:p>
              </w:tc>
              <w:tc>
                <w:tcPr>
                  <w:tcW w:w="1285"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日平均</w:t>
                  </w:r>
                </w:p>
              </w:tc>
              <w:tc>
                <w:tcPr>
                  <w:tcW w:w="818"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2.0</w:t>
                  </w:r>
                </w:p>
              </w:tc>
              <w:tc>
                <w:tcPr>
                  <w:tcW w:w="760"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4.0</w:t>
                  </w:r>
                </w:p>
              </w:tc>
              <w:tc>
                <w:tcPr>
                  <w:tcW w:w="621" w:type="pct"/>
                  <w:vAlign w:val="center"/>
                </w:tcPr>
                <w:p>
                  <w:pPr>
                    <w:widowControl/>
                    <w:adjustRightInd w:val="0"/>
                    <w:jc w:val="center"/>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mg/m</w:t>
                  </w:r>
                  <w:r>
                    <w:rPr>
                      <w:rFonts w:ascii="Times New Roman" w:hAnsi="Times New Roman" w:eastAsia="宋体" w:cs="Times New Roman"/>
                      <w:kern w:val="24"/>
                      <w:szCs w:val="21"/>
                      <w:vertAlign w:val="superscript"/>
                    </w:rPr>
                    <w:t>3</w:t>
                  </w:r>
                </w:p>
              </w:tc>
              <w:tc>
                <w:tcPr>
                  <w:tcW w:w="766"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750" w:type="pct"/>
                  <w:vAlign w:val="center"/>
                </w:tcPr>
                <w:p>
                  <w:pPr>
                    <w:widowControl/>
                    <w:adjustRightInd w:val="0"/>
                    <w:jc w:val="center"/>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O</w:t>
                  </w:r>
                  <w:r>
                    <w:rPr>
                      <w:rFonts w:hint="eastAsia" w:ascii="Times New Roman" w:hAnsi="Times New Roman" w:eastAsia="宋体" w:cs="Times New Roman"/>
                      <w:kern w:val="24"/>
                      <w:szCs w:val="21"/>
                      <w:vertAlign w:val="subscript"/>
                    </w:rPr>
                    <w:t>3</w:t>
                  </w:r>
                </w:p>
              </w:tc>
              <w:tc>
                <w:tcPr>
                  <w:tcW w:w="1285"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日最大8小时平均</w:t>
                  </w:r>
                </w:p>
              </w:tc>
              <w:tc>
                <w:tcPr>
                  <w:tcW w:w="818"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145</w:t>
                  </w:r>
                </w:p>
              </w:tc>
              <w:tc>
                <w:tcPr>
                  <w:tcW w:w="760"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160</w:t>
                  </w:r>
                </w:p>
              </w:tc>
              <w:tc>
                <w:tcPr>
                  <w:tcW w:w="621" w:type="pct"/>
                  <w:vAlign w:val="center"/>
                </w:tcPr>
                <w:p>
                  <w:pPr>
                    <w:widowControl/>
                    <w:adjustRightInd w:val="0"/>
                    <w:jc w:val="center"/>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μg/m</w:t>
                  </w:r>
                  <w:r>
                    <w:rPr>
                      <w:rFonts w:ascii="Times New Roman" w:hAnsi="Times New Roman" w:eastAsia="宋体" w:cs="Times New Roman"/>
                      <w:kern w:val="24"/>
                      <w:szCs w:val="21"/>
                      <w:vertAlign w:val="superscript"/>
                    </w:rPr>
                    <w:t>3</w:t>
                  </w:r>
                </w:p>
              </w:tc>
              <w:tc>
                <w:tcPr>
                  <w:tcW w:w="766"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750" w:type="pct"/>
                  <w:vAlign w:val="center"/>
                </w:tcPr>
                <w:p>
                  <w:pPr>
                    <w:widowControl/>
                    <w:adjustRightInd w:val="0"/>
                    <w:jc w:val="center"/>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PM</w:t>
                  </w:r>
                  <w:r>
                    <w:rPr>
                      <w:rFonts w:hint="eastAsia" w:ascii="Times New Roman" w:hAnsi="Times New Roman" w:eastAsia="宋体" w:cs="Times New Roman"/>
                      <w:kern w:val="24"/>
                      <w:szCs w:val="21"/>
                      <w:vertAlign w:val="subscript"/>
                    </w:rPr>
                    <w:t>2.5</w:t>
                  </w:r>
                </w:p>
              </w:tc>
              <w:tc>
                <w:tcPr>
                  <w:tcW w:w="1285"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年平均</w:t>
                  </w:r>
                </w:p>
              </w:tc>
              <w:tc>
                <w:tcPr>
                  <w:tcW w:w="818"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36</w:t>
                  </w:r>
                </w:p>
              </w:tc>
              <w:tc>
                <w:tcPr>
                  <w:tcW w:w="760"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35</w:t>
                  </w:r>
                </w:p>
              </w:tc>
              <w:tc>
                <w:tcPr>
                  <w:tcW w:w="621" w:type="pct"/>
                  <w:vAlign w:val="center"/>
                </w:tcPr>
                <w:p>
                  <w:pPr>
                    <w:widowControl/>
                    <w:adjustRightInd w:val="0"/>
                    <w:jc w:val="center"/>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μg/m</w:t>
                  </w:r>
                  <w:r>
                    <w:rPr>
                      <w:rFonts w:ascii="Times New Roman" w:hAnsi="Times New Roman" w:eastAsia="宋体" w:cs="Times New Roman"/>
                      <w:kern w:val="24"/>
                      <w:szCs w:val="21"/>
                      <w:vertAlign w:val="superscript"/>
                    </w:rPr>
                    <w:t>3</w:t>
                  </w:r>
                </w:p>
              </w:tc>
              <w:tc>
                <w:tcPr>
                  <w:tcW w:w="766"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不达标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0" w:type="pct"/>
                  <w:vAlign w:val="center"/>
                </w:tcPr>
                <w:p>
                  <w:pPr>
                    <w:widowControl/>
                    <w:adjustRightInd w:val="0"/>
                    <w:jc w:val="center"/>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PM</w:t>
                  </w:r>
                  <w:r>
                    <w:rPr>
                      <w:rFonts w:hint="eastAsia" w:ascii="Times New Roman" w:hAnsi="Times New Roman" w:eastAsia="宋体" w:cs="Times New Roman"/>
                      <w:kern w:val="24"/>
                      <w:szCs w:val="21"/>
                      <w:vertAlign w:val="subscript"/>
                    </w:rPr>
                    <w:t>10</w:t>
                  </w:r>
                </w:p>
              </w:tc>
              <w:tc>
                <w:tcPr>
                  <w:tcW w:w="1285"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年平均</w:t>
                  </w:r>
                </w:p>
              </w:tc>
              <w:tc>
                <w:tcPr>
                  <w:tcW w:w="818"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70</w:t>
                  </w:r>
                </w:p>
              </w:tc>
              <w:tc>
                <w:tcPr>
                  <w:tcW w:w="760"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70</w:t>
                  </w:r>
                </w:p>
              </w:tc>
              <w:tc>
                <w:tcPr>
                  <w:tcW w:w="621" w:type="pct"/>
                  <w:vAlign w:val="center"/>
                </w:tcPr>
                <w:p>
                  <w:pPr>
                    <w:widowControl/>
                    <w:adjustRightInd w:val="0"/>
                    <w:jc w:val="center"/>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μg/m</w:t>
                  </w:r>
                  <w:r>
                    <w:rPr>
                      <w:rFonts w:ascii="Times New Roman" w:hAnsi="Times New Roman" w:eastAsia="宋体" w:cs="Times New Roman"/>
                      <w:kern w:val="24"/>
                      <w:szCs w:val="21"/>
                      <w:vertAlign w:val="superscript"/>
                    </w:rPr>
                    <w:t>3</w:t>
                  </w:r>
                </w:p>
              </w:tc>
              <w:tc>
                <w:tcPr>
                  <w:tcW w:w="766" w:type="pct"/>
                  <w:vAlign w:val="center"/>
                </w:tcPr>
                <w:p>
                  <w:pPr>
                    <w:widowControl/>
                    <w:adjustRightIn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达标</w:t>
                  </w:r>
                </w:p>
              </w:tc>
            </w:tr>
          </w:tbl>
          <w:p>
            <w:pPr>
              <w:pStyle w:val="56"/>
              <w:snapToGrid w:val="0"/>
              <w:spacing w:line="360" w:lineRule="auto"/>
              <w:ind w:firstLine="420" w:firstLineChars="200"/>
              <w:rPr>
                <w:rFonts w:eastAsia="宋体"/>
                <w:sz w:val="21"/>
                <w:szCs w:val="21"/>
              </w:rPr>
            </w:pPr>
            <w:r>
              <w:rPr>
                <w:rFonts w:eastAsia="宋体"/>
                <w:sz w:val="21"/>
                <w:szCs w:val="21"/>
              </w:rPr>
              <w:t>由表</w:t>
            </w:r>
            <w:r>
              <w:rPr>
                <w:rFonts w:hint="eastAsia" w:eastAsia="宋体"/>
                <w:sz w:val="21"/>
                <w:szCs w:val="21"/>
              </w:rPr>
              <w:t>12可知</w:t>
            </w:r>
            <w:r>
              <w:rPr>
                <w:rFonts w:hint="eastAsia" w:eastAsia="宋体"/>
                <w:szCs w:val="21"/>
              </w:rPr>
              <w:t>，</w:t>
            </w:r>
            <w:r>
              <w:rPr>
                <w:rFonts w:eastAsia="宋体"/>
                <w:sz w:val="21"/>
                <w:szCs w:val="21"/>
              </w:rPr>
              <w:t>项目所在区域环境空气质量中SO</w:t>
            </w:r>
            <w:r>
              <w:rPr>
                <w:rFonts w:hint="eastAsia" w:eastAsia="宋体"/>
                <w:sz w:val="21"/>
                <w:szCs w:val="21"/>
                <w:vertAlign w:val="subscript"/>
              </w:rPr>
              <w:t>2</w:t>
            </w:r>
            <w:r>
              <w:rPr>
                <w:rFonts w:hint="eastAsia" w:eastAsia="宋体"/>
                <w:sz w:val="21"/>
                <w:szCs w:val="21"/>
              </w:rPr>
              <w:t>、NO</w:t>
            </w:r>
            <w:r>
              <w:rPr>
                <w:rFonts w:hint="eastAsia" w:eastAsia="宋体"/>
                <w:sz w:val="21"/>
                <w:szCs w:val="21"/>
                <w:vertAlign w:val="subscript"/>
              </w:rPr>
              <w:t>2</w:t>
            </w:r>
            <w:r>
              <w:rPr>
                <w:rFonts w:hint="eastAsia" w:eastAsia="宋体"/>
                <w:sz w:val="21"/>
                <w:szCs w:val="21"/>
              </w:rPr>
              <w:t>、 CO、O</w:t>
            </w:r>
            <w:r>
              <w:rPr>
                <w:rFonts w:hint="eastAsia" w:eastAsia="宋体"/>
                <w:sz w:val="21"/>
                <w:szCs w:val="21"/>
                <w:vertAlign w:val="subscript"/>
              </w:rPr>
              <w:t>3</w:t>
            </w:r>
            <w:r>
              <w:rPr>
                <w:rFonts w:hint="eastAsia" w:eastAsia="宋体"/>
                <w:sz w:val="21"/>
                <w:szCs w:val="21"/>
              </w:rPr>
              <w:t>和PM</w:t>
            </w:r>
            <w:r>
              <w:rPr>
                <w:rFonts w:hint="eastAsia" w:eastAsia="宋体"/>
                <w:sz w:val="21"/>
                <w:szCs w:val="21"/>
                <w:vertAlign w:val="subscript"/>
              </w:rPr>
              <w:t>10</w:t>
            </w:r>
            <w:r>
              <w:rPr>
                <w:rFonts w:hint="eastAsia" w:eastAsia="宋体"/>
                <w:sz w:val="21"/>
                <w:szCs w:val="21"/>
              </w:rPr>
              <w:t>均满足《环境空气质量标准》（GB3095-2012）中的二级标准，PM</w:t>
            </w:r>
            <w:r>
              <w:rPr>
                <w:rFonts w:hint="eastAsia" w:eastAsia="宋体"/>
                <w:sz w:val="21"/>
                <w:szCs w:val="21"/>
                <w:vertAlign w:val="subscript"/>
              </w:rPr>
              <w:t>2.5</w:t>
            </w:r>
            <w:r>
              <w:rPr>
                <w:rFonts w:hint="eastAsia" w:eastAsia="宋体"/>
                <w:sz w:val="21"/>
                <w:szCs w:val="21"/>
              </w:rPr>
              <w:t>超标，不满足《环境空气质量标准》（GB3095-2012）中的二级标准。因此，项目所在区域属于不达标区。</w:t>
            </w:r>
          </w:p>
          <w:p>
            <w:pPr>
              <w:pStyle w:val="56"/>
              <w:snapToGrid w:val="0"/>
              <w:spacing w:line="360" w:lineRule="auto"/>
              <w:ind w:firstLine="420"/>
              <w:rPr>
                <w:rFonts w:eastAsia="宋体"/>
                <w:sz w:val="21"/>
                <w:szCs w:val="21"/>
              </w:rPr>
            </w:pPr>
            <w:r>
              <w:rPr>
                <w:rFonts w:eastAsia="宋体"/>
                <w:sz w:val="21"/>
                <w:szCs w:val="21"/>
              </w:rPr>
              <w:t>改善措施：</w:t>
            </w:r>
          </w:p>
          <w:p>
            <w:pPr>
              <w:pStyle w:val="56"/>
              <w:snapToGrid w:val="0"/>
              <w:spacing w:line="360" w:lineRule="auto"/>
              <w:ind w:firstLine="420"/>
              <w:rPr>
                <w:rFonts w:eastAsia="宋体"/>
                <w:sz w:val="21"/>
                <w:szCs w:val="21"/>
              </w:rPr>
            </w:pPr>
            <w:r>
              <w:rPr>
                <w:rFonts w:hint="eastAsia" w:eastAsia="宋体"/>
                <w:sz w:val="21"/>
                <w:szCs w:val="21"/>
              </w:rPr>
              <w:t>①强力推进冬季清洁取暖。从生产、运输、销售、使用全链条严格管控，整村整乡整县推进煤炭替代和清洁、高效、集约利用，加快建成全市清洁取暖体系。</w:t>
            </w:r>
          </w:p>
          <w:p>
            <w:pPr>
              <w:pStyle w:val="56"/>
              <w:snapToGrid w:val="0"/>
              <w:spacing w:line="360" w:lineRule="auto"/>
              <w:ind w:firstLine="420"/>
              <w:rPr>
                <w:rFonts w:eastAsia="宋体"/>
                <w:sz w:val="21"/>
                <w:szCs w:val="21"/>
              </w:rPr>
            </w:pPr>
            <w:r>
              <w:rPr>
                <w:rFonts w:hint="eastAsia" w:eastAsia="宋体"/>
                <w:sz w:val="21"/>
                <w:szCs w:val="21"/>
              </w:rPr>
              <w:t>②推进重点行业产能压减，推进城市工业退城搬迁工作，集中整治“散乱污”企业，实施工业企业深度治理</w:t>
            </w:r>
            <w:r>
              <w:rPr>
                <w:rFonts w:eastAsia="宋体"/>
                <w:sz w:val="21"/>
                <w:szCs w:val="21"/>
              </w:rPr>
              <w:t>。</w:t>
            </w:r>
          </w:p>
          <w:p>
            <w:pPr>
              <w:pStyle w:val="56"/>
              <w:snapToGrid w:val="0"/>
              <w:spacing w:line="360" w:lineRule="auto"/>
              <w:ind w:firstLine="420"/>
              <w:rPr>
                <w:rFonts w:eastAsia="宋体"/>
                <w:sz w:val="21"/>
                <w:szCs w:val="21"/>
              </w:rPr>
            </w:pPr>
            <w:r>
              <w:rPr>
                <w:rFonts w:hint="eastAsia" w:eastAsia="宋体"/>
                <w:sz w:val="21"/>
                <w:szCs w:val="21"/>
              </w:rPr>
              <w:t>③强力推进扬尘综合整治，开展建筑施工扬尘综合整治，加强道路扬尘综合整治，强化工业料场扬尘控制。</w:t>
            </w:r>
          </w:p>
          <w:p>
            <w:pPr>
              <w:adjustRightInd w:val="0"/>
              <w:snapToGrid w:val="0"/>
              <w:spacing w:before="120" w:after="120" w:afterLines="50" w:line="312" w:lineRule="auto"/>
              <w:ind w:right="102" w:firstLine="482"/>
              <w:rPr>
                <w:rFonts w:ascii="Times New Roman" w:hAnsi="Times New Roman" w:eastAsia="宋体" w:cs="Times New Roman"/>
                <w:b/>
                <w:sz w:val="24"/>
                <w:szCs w:val="21"/>
              </w:rPr>
            </w:pPr>
            <w:r>
              <w:rPr>
                <w:rFonts w:ascii="Times New Roman" w:hAnsi="Times New Roman" w:eastAsia="宋体" w:cs="Times New Roman"/>
                <w:b/>
                <w:sz w:val="24"/>
                <w:szCs w:val="21"/>
              </w:rPr>
              <w:t>2 声环境质量现状</w:t>
            </w:r>
          </w:p>
          <w:p>
            <w:pPr>
              <w:widowControl/>
              <w:adjustRightInd w:val="0"/>
              <w:snapToGrid w:val="0"/>
              <w:spacing w:line="360" w:lineRule="auto"/>
              <w:ind w:firstLine="420"/>
              <w:jc w:val="left"/>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本项目周边50m范围内有声环境保护目标，所以对敏感点噪声现状进行了监测，结果如下。</w:t>
            </w:r>
          </w:p>
          <w:p>
            <w:pPr>
              <w:widowControl/>
              <w:adjustRightInd w:val="0"/>
              <w:snapToGrid w:val="0"/>
              <w:spacing w:before="120" w:beforeLines="50"/>
              <w:jc w:val="center"/>
              <w:textAlignment w:val="baseline"/>
              <w:rPr>
                <w:rFonts w:ascii="Times New Roman" w:hAnsi="Times New Roman" w:eastAsia="宋体" w:cs="Times New Roman"/>
                <w:b/>
                <w:kern w:val="24"/>
                <w:szCs w:val="21"/>
              </w:rPr>
            </w:pPr>
          </w:p>
          <w:p>
            <w:pPr>
              <w:widowControl/>
              <w:adjustRightInd w:val="0"/>
              <w:snapToGrid w:val="0"/>
              <w:spacing w:before="120" w:beforeLines="50"/>
              <w:jc w:val="center"/>
              <w:textAlignment w:val="baseline"/>
              <w:rPr>
                <w:rFonts w:ascii="Times New Roman" w:hAnsi="Times New Roman" w:eastAsia="宋体" w:cs="Times New Roman"/>
                <w:b/>
                <w:kern w:val="24"/>
                <w:szCs w:val="21"/>
              </w:rPr>
            </w:pPr>
            <w:r>
              <w:rPr>
                <w:rFonts w:hint="eastAsia" w:ascii="Times New Roman" w:hAnsi="Times New Roman" w:eastAsia="宋体" w:cs="Times New Roman"/>
                <w:b/>
                <w:kern w:val="24"/>
                <w:szCs w:val="21"/>
              </w:rPr>
              <w:t>表13 声环境现状检测</w:t>
            </w:r>
          </w:p>
          <w:tbl>
            <w:tblPr>
              <w:tblStyle w:val="1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31"/>
              <w:gridCol w:w="1181"/>
              <w:gridCol w:w="1655"/>
              <w:gridCol w:w="1416"/>
              <w:gridCol w:w="13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1683" w:type="pct"/>
                  <w:vMerge w:val="restart"/>
                  <w:vAlign w:val="center"/>
                </w:tcPr>
                <w:p>
                  <w:pPr>
                    <w:snapToGrid w:val="0"/>
                    <w:spacing w:line="300" w:lineRule="exact"/>
                    <w:jc w:val="center"/>
                    <w:rPr>
                      <w:rFonts w:ascii="Times New Roman" w:hAnsi="Times New Roman" w:eastAsia="宋体" w:cs="Times New Roman"/>
                    </w:rPr>
                  </w:pPr>
                  <w:r>
                    <w:rPr>
                      <w:rFonts w:ascii="Times New Roman" w:hAnsi="Times New Roman" w:eastAsia="宋体" w:cs="Times New Roman"/>
                    </w:rPr>
                    <mc:AlternateContent>
                      <mc:Choice Requires="wps">
                        <w:drawing>
                          <wp:anchor distT="0" distB="0" distL="114300" distR="114300" simplePos="0" relativeHeight="251660288" behindDoc="0" locked="0" layoutInCell="1" allowOverlap="1">
                            <wp:simplePos x="0" y="0"/>
                            <wp:positionH relativeFrom="column">
                              <wp:posOffset>-55245</wp:posOffset>
                            </wp:positionH>
                            <wp:positionV relativeFrom="paragraph">
                              <wp:posOffset>6350</wp:posOffset>
                            </wp:positionV>
                            <wp:extent cx="1762125" cy="809625"/>
                            <wp:effectExtent l="0" t="0" r="28575" b="28575"/>
                            <wp:wrapNone/>
                            <wp:docPr id="1" name="直接连接符 1"/>
                            <wp:cNvGraphicFramePr/>
                            <a:graphic xmlns:a="http://schemas.openxmlformats.org/drawingml/2006/main">
                              <a:graphicData uri="http://schemas.microsoft.com/office/word/2010/wordprocessingShape">
                                <wps:wsp>
                                  <wps:cNvCnPr>
                                    <a:cxnSpLocks noChangeShapeType="1"/>
                                  </wps:cNvCnPr>
                                  <wps:spPr bwMode="auto">
                                    <a:xfrm>
                                      <a:off x="0" y="0"/>
                                      <a:ext cx="1762125" cy="809625"/>
                                    </a:xfrm>
                                    <a:prstGeom prst="line">
                                      <a:avLst/>
                                    </a:prstGeom>
                                    <a:noFill/>
                                    <a:ln w="6350" cmpd="sng">
                                      <a:solidFill>
                                        <a:srgbClr val="000001"/>
                                      </a:solidFill>
                                      <a:round/>
                                    </a:ln>
                                    <a:effectLst/>
                                  </wps:spPr>
                                  <wps:bodyPr/>
                                </wps:wsp>
                              </a:graphicData>
                            </a:graphic>
                          </wp:anchor>
                        </w:drawing>
                      </mc:Choice>
                      <mc:Fallback>
                        <w:pict>
                          <v:line id="_x0000_s1026" o:spid="_x0000_s1026" o:spt="20" style="position:absolute;left:0pt;margin-left:-4.35pt;margin-top:0.5pt;height:63.75pt;width:138.75pt;z-index:251660288;mso-width-relative:page;mso-height-relative:page;" filled="f" stroked="t" coordsize="21600,21600" o:gfxdata="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BwLG3vWAAAACAEAAA8AAAAAAAAAAQAgAAAAIgAAAGRycy9kb3ducmV2LnhtbFBLAQIU&#10;ABQAAAAIAIdO4kBFhY+s9QEAAMgDAAAOAAAAAAAAAAEAIAAAACUBAABkcnMvZTJvRG9jLnhtbFBL&#10;BQYAAAAABgAGAFkBAACMBQAAAAA=&#10;">
                            <v:fill on="f" focussize="0,0"/>
                            <v:stroke weight="0.5pt" color="#000001" joinstyle="round"/>
                            <v:imagedata o:title=""/>
                            <o:lock v:ext="edit" aspectratio="f"/>
                          </v:line>
                        </w:pict>
                      </mc:Fallback>
                    </mc:AlternateContent>
                  </w:r>
                  <w:r>
                    <w:rPr>
                      <w:rFonts w:ascii="Times New Roman" w:hAnsi="Times New Roman" w:eastAsia="宋体" w:cs="Times New Roman"/>
                    </w:rPr>
                    <w:t xml:space="preserve">  检测日期</w:t>
                  </w:r>
                </w:p>
                <w:p>
                  <w:pPr>
                    <w:snapToGrid w:val="0"/>
                    <w:spacing w:line="300" w:lineRule="exact"/>
                    <w:jc w:val="center"/>
                    <w:rPr>
                      <w:rFonts w:ascii="Times New Roman" w:hAnsi="Times New Roman" w:eastAsia="宋体" w:cs="Times New Roman"/>
                    </w:rPr>
                  </w:pPr>
                </w:p>
                <w:p>
                  <w:pPr>
                    <w:snapToGrid w:val="0"/>
                    <w:spacing w:line="300" w:lineRule="exact"/>
                    <w:jc w:val="center"/>
                    <w:rPr>
                      <w:rFonts w:ascii="Times New Roman" w:hAnsi="Times New Roman" w:eastAsia="宋体" w:cs="Times New Roman"/>
                    </w:rPr>
                  </w:pPr>
                </w:p>
                <w:p>
                  <w:pPr>
                    <w:snapToGrid w:val="0"/>
                    <w:spacing w:line="300" w:lineRule="exact"/>
                    <w:jc w:val="center"/>
                    <w:rPr>
                      <w:rFonts w:ascii="Times New Roman" w:hAnsi="Times New Roman" w:eastAsia="宋体" w:cs="Times New Roman"/>
                    </w:rPr>
                  </w:pPr>
                  <w:r>
                    <w:rPr>
                      <w:rFonts w:ascii="Times New Roman" w:hAnsi="Times New Roman" w:eastAsia="宋体" w:cs="Times New Roman"/>
                    </w:rPr>
                    <w:t>检测点位</w:t>
                  </w:r>
                </w:p>
              </w:tc>
              <w:tc>
                <w:tcPr>
                  <w:tcW w:w="1686" w:type="pct"/>
                  <w:gridSpan w:val="2"/>
                  <w:vAlign w:val="center"/>
                </w:tcPr>
                <w:p>
                  <w:pPr>
                    <w:snapToGrid w:val="0"/>
                    <w:spacing w:line="300" w:lineRule="exact"/>
                    <w:jc w:val="center"/>
                    <w:rPr>
                      <w:rFonts w:ascii="Times New Roman" w:hAnsi="Times New Roman" w:eastAsia="宋体" w:cs="Times New Roman"/>
                    </w:rPr>
                  </w:pPr>
                  <w:r>
                    <w:rPr>
                      <w:rFonts w:hint="eastAsia" w:ascii="Times New Roman" w:hAnsi="Times New Roman" w:eastAsia="宋体" w:cs="Times New Roman"/>
                    </w:rPr>
                    <w:t>2022年07月16日</w:t>
                  </w:r>
                </w:p>
              </w:tc>
              <w:tc>
                <w:tcPr>
                  <w:tcW w:w="1631" w:type="pct"/>
                  <w:gridSpan w:val="2"/>
                  <w:vAlign w:val="center"/>
                </w:tcPr>
                <w:p>
                  <w:pPr>
                    <w:pStyle w:val="10"/>
                    <w:spacing w:before="120"/>
                    <w:ind w:left="0" w:leftChars="0" w:right="0" w:rightChars="0"/>
                    <w:jc w:val="center"/>
                    <w:rPr>
                      <w:szCs w:val="22"/>
                    </w:rPr>
                  </w:pPr>
                  <w:r>
                    <w:rPr>
                      <w:rFonts w:hint="eastAsia"/>
                      <w:szCs w:val="22"/>
                    </w:rPr>
                    <w:t>标准限值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683" w:type="pct"/>
                  <w:vMerge w:val="continue"/>
                  <w:vAlign w:val="center"/>
                </w:tcPr>
                <w:p>
                  <w:pPr>
                    <w:snapToGrid w:val="0"/>
                    <w:spacing w:line="300" w:lineRule="exact"/>
                    <w:jc w:val="center"/>
                    <w:rPr>
                      <w:rFonts w:ascii="Times New Roman" w:hAnsi="Times New Roman" w:eastAsia="宋体" w:cs="Times New Roman"/>
                      <w:highlight w:val="green"/>
                    </w:rPr>
                  </w:pPr>
                </w:p>
              </w:tc>
              <w:tc>
                <w:tcPr>
                  <w:tcW w:w="702" w:type="pct"/>
                  <w:vAlign w:val="center"/>
                </w:tcPr>
                <w:p>
                  <w:pPr>
                    <w:snapToGrid w:val="0"/>
                    <w:spacing w:line="300" w:lineRule="exact"/>
                    <w:jc w:val="center"/>
                    <w:rPr>
                      <w:rFonts w:ascii="Times New Roman" w:hAnsi="Times New Roman" w:eastAsia="宋体" w:cs="Times New Roman"/>
                    </w:rPr>
                  </w:pPr>
                  <w:r>
                    <w:rPr>
                      <w:rFonts w:ascii="Times New Roman" w:hAnsi="Times New Roman" w:eastAsia="宋体" w:cs="Times New Roman"/>
                    </w:rPr>
                    <w:t>昼间</w:t>
                  </w:r>
                </w:p>
              </w:tc>
              <w:tc>
                <w:tcPr>
                  <w:tcW w:w="984" w:type="pct"/>
                  <w:vAlign w:val="center"/>
                </w:tcPr>
                <w:p>
                  <w:pPr>
                    <w:snapToGrid w:val="0"/>
                    <w:spacing w:line="300" w:lineRule="exact"/>
                    <w:jc w:val="center"/>
                    <w:rPr>
                      <w:rFonts w:ascii="Times New Roman" w:hAnsi="Times New Roman" w:eastAsia="宋体" w:cs="Times New Roman"/>
                    </w:rPr>
                  </w:pPr>
                  <w:r>
                    <w:rPr>
                      <w:rFonts w:hint="eastAsia" w:ascii="Times New Roman" w:hAnsi="Times New Roman" w:eastAsia="宋体" w:cs="Times New Roman"/>
                    </w:rPr>
                    <w:t>夜间</w:t>
                  </w:r>
                </w:p>
              </w:tc>
              <w:tc>
                <w:tcPr>
                  <w:tcW w:w="842" w:type="pct"/>
                  <w:vAlign w:val="center"/>
                </w:tcPr>
                <w:p>
                  <w:pPr>
                    <w:pStyle w:val="10"/>
                    <w:spacing w:before="120"/>
                    <w:ind w:left="0" w:leftChars="0" w:right="0" w:rightChars="0"/>
                    <w:jc w:val="center"/>
                    <w:rPr>
                      <w:szCs w:val="22"/>
                    </w:rPr>
                  </w:pPr>
                  <w:r>
                    <w:rPr>
                      <w:szCs w:val="21"/>
                    </w:rPr>
                    <w:t>昼间</w:t>
                  </w:r>
                </w:p>
              </w:tc>
              <w:tc>
                <w:tcPr>
                  <w:tcW w:w="789" w:type="pct"/>
                  <w:vAlign w:val="center"/>
                </w:tcPr>
                <w:p>
                  <w:pPr>
                    <w:pStyle w:val="10"/>
                    <w:spacing w:before="120"/>
                    <w:ind w:left="0" w:leftChars="0" w:right="0" w:rightChars="0"/>
                    <w:jc w:val="center"/>
                    <w:rPr>
                      <w:szCs w:val="22"/>
                    </w:rPr>
                  </w:pPr>
                  <w:r>
                    <w:rPr>
                      <w:rFonts w:hint="eastAsia"/>
                      <w:szCs w:val="21"/>
                    </w:rPr>
                    <w:t>夜间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1683" w:type="pct"/>
                  <w:vAlign w:val="center"/>
                </w:tcPr>
                <w:p>
                  <w:pPr>
                    <w:snapToGrid w:val="0"/>
                    <w:spacing w:line="300" w:lineRule="exact"/>
                    <w:jc w:val="center"/>
                    <w:rPr>
                      <w:rFonts w:ascii="Times New Roman" w:hAnsi="Times New Roman" w:eastAsia="宋体" w:cs="Times New Roman"/>
                      <w:highlight w:val="green"/>
                    </w:rPr>
                  </w:pPr>
                  <w:r>
                    <w:rPr>
                      <w:rFonts w:hint="eastAsia" w:ascii="Times New Roman" w:hAnsi="Times New Roman" w:eastAsia="宋体" w:cs="Times New Roman"/>
                    </w:rPr>
                    <w:t>1#天成化工家属楼</w:t>
                  </w:r>
                </w:p>
              </w:tc>
              <w:tc>
                <w:tcPr>
                  <w:tcW w:w="702" w:type="pct"/>
                  <w:vAlign w:val="center"/>
                </w:tcPr>
                <w:p>
                  <w:pPr>
                    <w:snapToGrid w:val="0"/>
                    <w:spacing w:line="300" w:lineRule="exact"/>
                    <w:jc w:val="center"/>
                    <w:rPr>
                      <w:rFonts w:ascii="Times New Roman" w:hAnsi="Times New Roman" w:eastAsia="宋体" w:cs="Times New Roman"/>
                    </w:rPr>
                  </w:pPr>
                  <w:r>
                    <w:rPr>
                      <w:rFonts w:hint="eastAsia" w:ascii="Times New Roman" w:hAnsi="Times New Roman" w:eastAsia="宋体" w:cs="Times New Roman"/>
                    </w:rPr>
                    <w:t>49.2</w:t>
                  </w:r>
                </w:p>
              </w:tc>
              <w:tc>
                <w:tcPr>
                  <w:tcW w:w="984" w:type="pct"/>
                  <w:vAlign w:val="center"/>
                </w:tcPr>
                <w:p>
                  <w:pPr>
                    <w:snapToGrid w:val="0"/>
                    <w:spacing w:line="300" w:lineRule="exact"/>
                    <w:jc w:val="center"/>
                    <w:rPr>
                      <w:rFonts w:ascii="Times New Roman" w:hAnsi="Times New Roman" w:eastAsia="宋体" w:cs="Times New Roman"/>
                    </w:rPr>
                  </w:pPr>
                  <w:r>
                    <w:rPr>
                      <w:rFonts w:hint="eastAsia" w:ascii="Times New Roman" w:hAnsi="Times New Roman" w:eastAsia="宋体" w:cs="Times New Roman"/>
                    </w:rPr>
                    <w:t>39.1</w:t>
                  </w:r>
                </w:p>
              </w:tc>
              <w:tc>
                <w:tcPr>
                  <w:tcW w:w="842" w:type="pct"/>
                  <w:vAlign w:val="center"/>
                </w:tcPr>
                <w:p>
                  <w:pPr>
                    <w:snapToGrid w:val="0"/>
                    <w:spacing w:line="300" w:lineRule="exact"/>
                    <w:jc w:val="center"/>
                    <w:rPr>
                      <w:rFonts w:ascii="Times New Roman" w:hAnsi="Times New Roman" w:eastAsia="宋体" w:cs="Times New Roman"/>
                    </w:rPr>
                  </w:pPr>
                  <w:r>
                    <w:rPr>
                      <w:rFonts w:hint="eastAsia" w:ascii="Times New Roman" w:hAnsi="Times New Roman" w:eastAsia="宋体" w:cs="Times New Roman"/>
                    </w:rPr>
                    <w:t>55</w:t>
                  </w:r>
                </w:p>
              </w:tc>
              <w:tc>
                <w:tcPr>
                  <w:tcW w:w="789" w:type="pct"/>
                  <w:vAlign w:val="center"/>
                </w:tcPr>
                <w:p>
                  <w:pPr>
                    <w:snapToGrid w:val="0"/>
                    <w:spacing w:line="300" w:lineRule="exact"/>
                    <w:jc w:val="center"/>
                    <w:rPr>
                      <w:rFonts w:ascii="Times New Roman" w:hAnsi="Times New Roman" w:eastAsia="宋体" w:cs="Times New Roman"/>
                    </w:rPr>
                  </w:pPr>
                  <w:r>
                    <w:rPr>
                      <w:rFonts w:hint="eastAsia" w:ascii="Times New Roman" w:hAnsi="Times New Roman" w:eastAsia="宋体" w:cs="Times New Roman"/>
                    </w:rPr>
                    <w:t>45</w:t>
                  </w:r>
                </w:p>
              </w:tc>
            </w:tr>
          </w:tbl>
          <w:p>
            <w:pPr>
              <w:widowControl/>
              <w:adjustRightInd w:val="0"/>
              <w:snapToGrid w:val="0"/>
              <w:spacing w:line="360" w:lineRule="auto"/>
              <w:ind w:firstLine="420"/>
              <w:jc w:val="left"/>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项目所在地声环境质量状况良好，厂界可满足《声环境质量标准》（GB3096—2008）中2类、4a类标准要求，敏感点噪声满足《声环境质量标准》（GB3096—2008）中1类标准要求</w:t>
            </w:r>
            <w:r>
              <w:rPr>
                <w:rFonts w:ascii="Times New Roman" w:hAnsi="Times New Roman" w:eastAsia="宋体" w:cs="Times New Roman"/>
                <w:kern w:val="24"/>
                <w:szCs w:val="21"/>
              </w:rPr>
              <w:t>。满足环境功能区划要求。</w:t>
            </w:r>
          </w:p>
          <w:p>
            <w:pPr>
              <w:widowControl/>
              <w:adjustRightInd w:val="0"/>
              <w:snapToGrid w:val="0"/>
              <w:spacing w:line="360" w:lineRule="auto"/>
              <w:jc w:val="left"/>
              <w:textAlignment w:val="baseline"/>
              <w:rPr>
                <w:rFonts w:ascii="Times New Roman" w:hAnsi="Times New Roman" w:eastAsia="仿宋_GB2312" w:cs="Times New Roman"/>
                <w:kern w:val="24"/>
                <w:sz w:val="24"/>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51" w:hRule="atLeast"/>
          <w:jc w:val="center"/>
        </w:trPr>
        <w:tc>
          <w:tcPr>
            <w:tcW w:w="800" w:type="dxa"/>
            <w:vAlign w:val="center"/>
          </w:tcPr>
          <w:p>
            <w:pPr>
              <w:adjustRightInd w:val="0"/>
              <w:snapToGrid w:val="0"/>
              <w:jc w:val="center"/>
              <w:rPr>
                <w:rFonts w:ascii="宋体" w:hAnsi="宋体" w:eastAsia="宋体" w:cs="宋体"/>
                <w:kern w:val="0"/>
                <w:szCs w:val="21"/>
              </w:rPr>
            </w:pPr>
            <w:r>
              <w:rPr>
                <w:rFonts w:hint="eastAsia" w:ascii="宋体" w:hAnsi="宋体" w:eastAsia="宋体" w:cs="宋体"/>
                <w:kern w:val="0"/>
                <w:szCs w:val="21"/>
              </w:rPr>
              <w:t>环境</w:t>
            </w:r>
          </w:p>
          <w:p>
            <w:pPr>
              <w:adjustRightInd w:val="0"/>
              <w:snapToGrid w:val="0"/>
              <w:jc w:val="center"/>
              <w:rPr>
                <w:rFonts w:ascii="宋体" w:hAnsi="宋体" w:eastAsia="宋体" w:cs="宋体"/>
                <w:kern w:val="0"/>
                <w:szCs w:val="21"/>
              </w:rPr>
            </w:pPr>
            <w:r>
              <w:rPr>
                <w:rFonts w:hint="eastAsia" w:ascii="宋体" w:hAnsi="宋体" w:eastAsia="宋体" w:cs="宋体"/>
                <w:kern w:val="0"/>
                <w:szCs w:val="21"/>
              </w:rPr>
              <w:t>保护</w:t>
            </w:r>
          </w:p>
          <w:p>
            <w:pPr>
              <w:adjustRightInd w:val="0"/>
              <w:snapToGrid w:val="0"/>
              <w:jc w:val="center"/>
              <w:rPr>
                <w:rFonts w:ascii="宋体" w:hAnsi="宋体" w:eastAsia="宋体" w:cs="宋体"/>
                <w:kern w:val="0"/>
                <w:szCs w:val="21"/>
              </w:rPr>
            </w:pPr>
            <w:r>
              <w:rPr>
                <w:rFonts w:hint="eastAsia" w:ascii="宋体" w:hAnsi="宋体" w:eastAsia="宋体" w:cs="宋体"/>
                <w:kern w:val="0"/>
                <w:szCs w:val="21"/>
              </w:rPr>
              <w:t>目标</w:t>
            </w:r>
          </w:p>
        </w:tc>
        <w:tc>
          <w:tcPr>
            <w:tcW w:w="8190" w:type="dxa"/>
            <w:vAlign w:val="center"/>
          </w:tcPr>
          <w:p>
            <w:pPr>
              <w:keepNext/>
              <w:adjustRightInd w:val="0"/>
              <w:snapToGrid w:val="0"/>
              <w:spacing w:line="360" w:lineRule="auto"/>
              <w:ind w:firstLine="420" w:firstLineChars="200"/>
              <w:jc w:val="left"/>
              <w:rPr>
                <w:rFonts w:ascii="宋体" w:hAnsi="宋体" w:eastAsia="宋体" w:cs="Times New Roman"/>
                <w:szCs w:val="20"/>
              </w:rPr>
            </w:pPr>
            <w:r>
              <w:rPr>
                <w:rFonts w:ascii="宋体" w:hAnsi="宋体" w:eastAsia="宋体" w:cs="Times New Roman"/>
                <w:szCs w:val="20"/>
              </w:rPr>
              <w:t>项目所在区域环境保护目标、标准、级别见下表。</w:t>
            </w:r>
          </w:p>
          <w:p>
            <w:pPr>
              <w:adjustRightInd w:val="0"/>
              <w:snapToGrid w:val="0"/>
              <w:spacing w:line="360" w:lineRule="auto"/>
              <w:ind w:firstLine="420" w:firstLineChars="200"/>
              <w:jc w:val="center"/>
              <w:rPr>
                <w:rFonts w:ascii="宋体" w:hAnsi="宋体" w:eastAsia="宋体" w:cs="宋体"/>
                <w:kern w:val="0"/>
                <w:szCs w:val="21"/>
              </w:rPr>
            </w:pPr>
            <w:r>
              <w:rPr>
                <w:rFonts w:ascii="Times New Roman" w:hAnsi="Times New Roman" w:eastAsia="宋体" w:cs="Times New Roman"/>
                <w:kern w:val="0"/>
                <w:szCs w:val="21"/>
              </w:rPr>
              <w:t>本项目周边50m范围内</w:t>
            </w:r>
            <w:r>
              <w:rPr>
                <w:rFonts w:hint="eastAsia" w:ascii="Times New Roman" w:hAnsi="Times New Roman" w:eastAsia="宋体" w:cs="Times New Roman"/>
                <w:kern w:val="0"/>
                <w:szCs w:val="21"/>
              </w:rPr>
              <w:t>有</w:t>
            </w:r>
            <w:r>
              <w:rPr>
                <w:rFonts w:ascii="Times New Roman" w:hAnsi="Times New Roman" w:eastAsia="宋体" w:cs="Times New Roman"/>
                <w:kern w:val="0"/>
                <w:szCs w:val="21"/>
              </w:rPr>
              <w:t>声环境保护目标，500m范围内</w:t>
            </w:r>
            <w:r>
              <w:rPr>
                <w:rFonts w:hint="eastAsia" w:ascii="Times New Roman" w:hAnsi="Times New Roman" w:eastAsia="宋体" w:cs="Times New Roman"/>
                <w:kern w:val="0"/>
                <w:szCs w:val="21"/>
              </w:rPr>
              <w:t>有</w:t>
            </w:r>
            <w:r>
              <w:rPr>
                <w:rFonts w:ascii="Times New Roman" w:hAnsi="Times New Roman" w:eastAsia="宋体" w:cs="Times New Roman"/>
                <w:kern w:val="0"/>
                <w:szCs w:val="21"/>
              </w:rPr>
              <w:t>大气环境环保</w:t>
            </w:r>
            <w:r>
              <w:rPr>
                <w:rFonts w:hint="eastAsia" w:ascii="宋体" w:hAnsi="宋体" w:eastAsia="宋体" w:cs="宋体"/>
                <w:kern w:val="0"/>
                <w:szCs w:val="21"/>
              </w:rPr>
              <w:t>目标。</w:t>
            </w:r>
          </w:p>
          <w:p>
            <w:pPr>
              <w:pStyle w:val="59"/>
              <w:spacing w:before="120"/>
              <w:ind w:firstLine="422"/>
            </w:pPr>
            <w:r>
              <w:rPr>
                <w:rFonts w:hint="eastAsia"/>
              </w:rPr>
              <w:t>表14环境要素保护目标一览表</w:t>
            </w:r>
          </w:p>
          <w:tbl>
            <w:tblPr>
              <w:tblStyle w:val="18"/>
              <w:tblW w:w="8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601"/>
              <w:gridCol w:w="509"/>
              <w:gridCol w:w="923"/>
              <w:gridCol w:w="503"/>
              <w:gridCol w:w="961"/>
              <w:gridCol w:w="1067"/>
              <w:gridCol w:w="644"/>
              <w:gridCol w:w="889"/>
              <w:gridCol w:w="2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0" w:type="pct"/>
                  <w:vMerge w:val="restart"/>
                  <w:vAlign w:val="center"/>
                </w:tcPr>
                <w:p>
                  <w:pPr>
                    <w:snapToGrid w:val="0"/>
                    <w:jc w:val="center"/>
                    <w:rPr>
                      <w:szCs w:val="21"/>
                    </w:rPr>
                  </w:pPr>
                  <w:r>
                    <w:rPr>
                      <w:rFonts w:hint="eastAsia"/>
                      <w:szCs w:val="21"/>
                    </w:rPr>
                    <w:t>保护</w:t>
                  </w:r>
                </w:p>
                <w:p>
                  <w:pPr>
                    <w:snapToGrid w:val="0"/>
                    <w:jc w:val="center"/>
                    <w:rPr>
                      <w:szCs w:val="21"/>
                    </w:rPr>
                  </w:pPr>
                  <w:r>
                    <w:rPr>
                      <w:rFonts w:hint="eastAsia"/>
                      <w:szCs w:val="21"/>
                    </w:rPr>
                    <w:t>对象</w:t>
                  </w:r>
                </w:p>
              </w:tc>
              <w:tc>
                <w:tcPr>
                  <w:tcW w:w="305" w:type="pct"/>
                  <w:vMerge w:val="restart"/>
                  <w:vAlign w:val="center"/>
                </w:tcPr>
                <w:p>
                  <w:pPr>
                    <w:snapToGrid w:val="0"/>
                    <w:jc w:val="center"/>
                    <w:rPr>
                      <w:szCs w:val="21"/>
                    </w:rPr>
                  </w:pPr>
                  <w:r>
                    <w:rPr>
                      <w:szCs w:val="21"/>
                    </w:rPr>
                    <w:t>序号</w:t>
                  </w:r>
                </w:p>
              </w:tc>
              <w:tc>
                <w:tcPr>
                  <w:tcW w:w="552" w:type="pct"/>
                  <w:vMerge w:val="restart"/>
                  <w:vAlign w:val="center"/>
                </w:tcPr>
                <w:p>
                  <w:pPr>
                    <w:snapToGrid w:val="0"/>
                    <w:jc w:val="center"/>
                    <w:rPr>
                      <w:szCs w:val="21"/>
                    </w:rPr>
                  </w:pPr>
                  <w:r>
                    <w:rPr>
                      <w:szCs w:val="21"/>
                    </w:rPr>
                    <w:t>保护目标</w:t>
                  </w:r>
                </w:p>
              </w:tc>
              <w:tc>
                <w:tcPr>
                  <w:tcW w:w="301" w:type="pct"/>
                  <w:vMerge w:val="restart"/>
                  <w:vAlign w:val="center"/>
                </w:tcPr>
                <w:p>
                  <w:pPr>
                    <w:snapToGrid w:val="0"/>
                    <w:jc w:val="center"/>
                    <w:rPr>
                      <w:szCs w:val="21"/>
                    </w:rPr>
                  </w:pPr>
                  <w:r>
                    <w:rPr>
                      <w:szCs w:val="21"/>
                    </w:rPr>
                    <w:t>相对</w:t>
                  </w:r>
                  <w:r>
                    <w:rPr>
                      <w:rFonts w:hint="eastAsia"/>
                      <w:szCs w:val="21"/>
                    </w:rPr>
                    <w:t>位置</w:t>
                  </w:r>
                </w:p>
              </w:tc>
              <w:tc>
                <w:tcPr>
                  <w:tcW w:w="1213" w:type="pct"/>
                  <w:gridSpan w:val="2"/>
                  <w:vAlign w:val="center"/>
                </w:tcPr>
                <w:p>
                  <w:pPr>
                    <w:snapToGrid w:val="0"/>
                    <w:jc w:val="center"/>
                    <w:rPr>
                      <w:szCs w:val="21"/>
                    </w:rPr>
                  </w:pPr>
                  <w:r>
                    <w:rPr>
                      <w:szCs w:val="21"/>
                    </w:rPr>
                    <w:t>坐标</w:t>
                  </w:r>
                </w:p>
              </w:tc>
              <w:tc>
                <w:tcPr>
                  <w:tcW w:w="385" w:type="pct"/>
                  <w:vMerge w:val="restart"/>
                  <w:vAlign w:val="center"/>
                </w:tcPr>
                <w:p>
                  <w:pPr>
                    <w:snapToGrid w:val="0"/>
                    <w:jc w:val="center"/>
                    <w:rPr>
                      <w:szCs w:val="21"/>
                    </w:rPr>
                  </w:pPr>
                  <w:r>
                    <w:rPr>
                      <w:szCs w:val="21"/>
                    </w:rPr>
                    <w:t>距离</w:t>
                  </w:r>
                  <w:r>
                    <w:rPr>
                      <w:rFonts w:hint="eastAsia"/>
                      <w:szCs w:val="21"/>
                    </w:rPr>
                    <w:t>（m）</w:t>
                  </w:r>
                </w:p>
              </w:tc>
              <w:tc>
                <w:tcPr>
                  <w:tcW w:w="532" w:type="pct"/>
                  <w:vMerge w:val="restart"/>
                  <w:vAlign w:val="center"/>
                </w:tcPr>
                <w:p>
                  <w:pPr>
                    <w:snapToGrid w:val="0"/>
                    <w:jc w:val="center"/>
                    <w:rPr>
                      <w:szCs w:val="21"/>
                    </w:rPr>
                  </w:pPr>
                  <w:r>
                    <w:rPr>
                      <w:szCs w:val="21"/>
                    </w:rPr>
                    <w:t>功能</w:t>
                  </w:r>
                </w:p>
              </w:tc>
              <w:tc>
                <w:tcPr>
                  <w:tcW w:w="1352" w:type="pct"/>
                  <w:vMerge w:val="restart"/>
                  <w:vAlign w:val="center"/>
                </w:tcPr>
                <w:p>
                  <w:pPr>
                    <w:snapToGrid w:val="0"/>
                    <w:jc w:val="center"/>
                    <w:rPr>
                      <w:szCs w:val="21"/>
                    </w:rPr>
                  </w:pPr>
                  <w:r>
                    <w:rPr>
                      <w:szCs w:val="21"/>
                    </w:rPr>
                    <w:t>保护要求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0" w:type="pct"/>
                  <w:vMerge w:val="continue"/>
                  <w:vAlign w:val="center"/>
                </w:tcPr>
                <w:p>
                  <w:pPr>
                    <w:snapToGrid w:val="0"/>
                    <w:jc w:val="center"/>
                    <w:rPr>
                      <w:szCs w:val="21"/>
                    </w:rPr>
                  </w:pPr>
                </w:p>
              </w:tc>
              <w:tc>
                <w:tcPr>
                  <w:tcW w:w="305" w:type="pct"/>
                  <w:vMerge w:val="continue"/>
                  <w:vAlign w:val="center"/>
                </w:tcPr>
                <w:p>
                  <w:pPr>
                    <w:snapToGrid w:val="0"/>
                    <w:jc w:val="center"/>
                    <w:rPr>
                      <w:szCs w:val="21"/>
                    </w:rPr>
                  </w:pPr>
                </w:p>
              </w:tc>
              <w:tc>
                <w:tcPr>
                  <w:tcW w:w="552" w:type="pct"/>
                  <w:vMerge w:val="continue"/>
                  <w:vAlign w:val="center"/>
                </w:tcPr>
                <w:p>
                  <w:pPr>
                    <w:snapToGrid w:val="0"/>
                    <w:jc w:val="center"/>
                    <w:rPr>
                      <w:szCs w:val="21"/>
                    </w:rPr>
                  </w:pPr>
                </w:p>
              </w:tc>
              <w:tc>
                <w:tcPr>
                  <w:tcW w:w="301" w:type="pct"/>
                  <w:vMerge w:val="continue"/>
                  <w:vAlign w:val="center"/>
                </w:tcPr>
                <w:p>
                  <w:pPr>
                    <w:snapToGrid w:val="0"/>
                    <w:jc w:val="center"/>
                    <w:rPr>
                      <w:szCs w:val="21"/>
                    </w:rPr>
                  </w:pPr>
                </w:p>
              </w:tc>
              <w:tc>
                <w:tcPr>
                  <w:tcW w:w="575" w:type="pct"/>
                  <w:vAlign w:val="center"/>
                </w:tcPr>
                <w:p>
                  <w:pPr>
                    <w:snapToGrid w:val="0"/>
                    <w:jc w:val="center"/>
                    <w:rPr>
                      <w:szCs w:val="21"/>
                    </w:rPr>
                  </w:pPr>
                  <w:r>
                    <w:rPr>
                      <w:szCs w:val="21"/>
                    </w:rPr>
                    <w:t>X</w:t>
                  </w:r>
                </w:p>
              </w:tc>
              <w:tc>
                <w:tcPr>
                  <w:tcW w:w="638" w:type="pct"/>
                  <w:vAlign w:val="center"/>
                </w:tcPr>
                <w:p>
                  <w:pPr>
                    <w:snapToGrid w:val="0"/>
                    <w:jc w:val="center"/>
                    <w:rPr>
                      <w:szCs w:val="21"/>
                    </w:rPr>
                  </w:pPr>
                  <w:r>
                    <w:rPr>
                      <w:szCs w:val="21"/>
                    </w:rPr>
                    <w:t>Y</w:t>
                  </w:r>
                </w:p>
              </w:tc>
              <w:tc>
                <w:tcPr>
                  <w:tcW w:w="385" w:type="pct"/>
                  <w:vMerge w:val="continue"/>
                  <w:vAlign w:val="center"/>
                </w:tcPr>
                <w:p>
                  <w:pPr>
                    <w:snapToGrid w:val="0"/>
                    <w:jc w:val="center"/>
                    <w:rPr>
                      <w:szCs w:val="21"/>
                    </w:rPr>
                  </w:pPr>
                </w:p>
              </w:tc>
              <w:tc>
                <w:tcPr>
                  <w:tcW w:w="532" w:type="pct"/>
                  <w:vMerge w:val="continue"/>
                  <w:vAlign w:val="center"/>
                </w:tcPr>
                <w:p>
                  <w:pPr>
                    <w:snapToGrid w:val="0"/>
                    <w:jc w:val="center"/>
                    <w:rPr>
                      <w:szCs w:val="21"/>
                    </w:rPr>
                  </w:pPr>
                </w:p>
              </w:tc>
              <w:tc>
                <w:tcPr>
                  <w:tcW w:w="1352" w:type="pct"/>
                  <w:vMerge w:val="continue"/>
                  <w:vAlign w:val="center"/>
                </w:tcPr>
                <w:p>
                  <w:pPr>
                    <w:snapToGrid w:val="0"/>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0" w:type="pct"/>
                  <w:vAlign w:val="center"/>
                </w:tcPr>
                <w:p>
                  <w:pPr>
                    <w:snapToGrid w:val="0"/>
                    <w:jc w:val="center"/>
                    <w:rPr>
                      <w:szCs w:val="21"/>
                    </w:rPr>
                  </w:pPr>
                  <w:r>
                    <w:rPr>
                      <w:szCs w:val="21"/>
                    </w:rPr>
                    <w:t>声环境</w:t>
                  </w:r>
                </w:p>
              </w:tc>
              <w:tc>
                <w:tcPr>
                  <w:tcW w:w="305" w:type="pct"/>
                  <w:vAlign w:val="center"/>
                </w:tcPr>
                <w:p>
                  <w:pPr>
                    <w:snapToGrid w:val="0"/>
                    <w:jc w:val="center"/>
                    <w:rPr>
                      <w:szCs w:val="21"/>
                    </w:rPr>
                  </w:pPr>
                  <w:r>
                    <w:rPr>
                      <w:rFonts w:hint="eastAsia"/>
                      <w:szCs w:val="21"/>
                    </w:rPr>
                    <w:t>1</w:t>
                  </w:r>
                </w:p>
              </w:tc>
              <w:tc>
                <w:tcPr>
                  <w:tcW w:w="552" w:type="pct"/>
                  <w:vAlign w:val="center"/>
                </w:tcPr>
                <w:p>
                  <w:pPr>
                    <w:snapToGrid w:val="0"/>
                    <w:jc w:val="center"/>
                    <w:rPr>
                      <w:szCs w:val="21"/>
                    </w:rPr>
                  </w:pPr>
                  <w:r>
                    <w:rPr>
                      <w:rFonts w:hint="eastAsia"/>
                      <w:szCs w:val="21"/>
                    </w:rPr>
                    <w:t>天成化工宿舍</w:t>
                  </w:r>
                </w:p>
              </w:tc>
              <w:tc>
                <w:tcPr>
                  <w:tcW w:w="301" w:type="pct"/>
                  <w:vAlign w:val="center"/>
                </w:tcPr>
                <w:p>
                  <w:pPr>
                    <w:snapToGrid w:val="0"/>
                    <w:jc w:val="center"/>
                    <w:rPr>
                      <w:szCs w:val="21"/>
                    </w:rPr>
                  </w:pPr>
                  <w:r>
                    <w:rPr>
                      <w:rFonts w:hint="eastAsia"/>
                      <w:szCs w:val="21"/>
                    </w:rPr>
                    <w:t>W</w:t>
                  </w:r>
                </w:p>
              </w:tc>
              <w:tc>
                <w:tcPr>
                  <w:tcW w:w="575" w:type="pct"/>
                  <w:vAlign w:val="center"/>
                </w:tcPr>
                <w:p>
                  <w:pPr>
                    <w:jc w:val="center"/>
                    <w:rPr>
                      <w:szCs w:val="21"/>
                    </w:rPr>
                  </w:pPr>
                  <w:r>
                    <w:rPr>
                      <w:szCs w:val="21"/>
                    </w:rPr>
                    <w:t>39.797471</w:t>
                  </w:r>
                </w:p>
              </w:tc>
              <w:tc>
                <w:tcPr>
                  <w:tcW w:w="638" w:type="pct"/>
                  <w:vAlign w:val="center"/>
                </w:tcPr>
                <w:p>
                  <w:pPr>
                    <w:snapToGrid w:val="0"/>
                    <w:jc w:val="center"/>
                  </w:pPr>
                  <w:r>
                    <w:rPr>
                      <w:szCs w:val="21"/>
                    </w:rPr>
                    <w:t>119.326753</w:t>
                  </w:r>
                </w:p>
              </w:tc>
              <w:tc>
                <w:tcPr>
                  <w:tcW w:w="385" w:type="pct"/>
                  <w:vAlign w:val="center"/>
                </w:tcPr>
                <w:p>
                  <w:pPr>
                    <w:snapToGrid w:val="0"/>
                    <w:jc w:val="center"/>
                    <w:rPr>
                      <w:szCs w:val="21"/>
                    </w:rPr>
                  </w:pPr>
                  <w:r>
                    <w:rPr>
                      <w:rFonts w:hint="eastAsia"/>
                      <w:szCs w:val="21"/>
                    </w:rPr>
                    <w:t>16</w:t>
                  </w:r>
                </w:p>
              </w:tc>
              <w:tc>
                <w:tcPr>
                  <w:tcW w:w="532" w:type="pct"/>
                  <w:vAlign w:val="center"/>
                </w:tcPr>
                <w:p>
                  <w:pPr>
                    <w:snapToGrid w:val="0"/>
                    <w:jc w:val="center"/>
                    <w:rPr>
                      <w:szCs w:val="21"/>
                    </w:rPr>
                  </w:pPr>
                  <w:r>
                    <w:rPr>
                      <w:szCs w:val="21"/>
                    </w:rPr>
                    <w:t>小区</w:t>
                  </w:r>
                </w:p>
              </w:tc>
              <w:tc>
                <w:tcPr>
                  <w:tcW w:w="1352" w:type="pct"/>
                  <w:vAlign w:val="center"/>
                </w:tcPr>
                <w:p>
                  <w:pPr>
                    <w:snapToGrid w:val="0"/>
                    <w:jc w:val="center"/>
                    <w:rPr>
                      <w:szCs w:val="21"/>
                    </w:rPr>
                  </w:pPr>
                  <w:r>
                    <w:rPr>
                      <w:rFonts w:hint="eastAsia" w:ascii="Times New Roman" w:hAnsi="Times New Roman" w:eastAsia="宋体" w:cs="Times New Roman"/>
                      <w:kern w:val="24"/>
                      <w:szCs w:val="21"/>
                    </w:rPr>
                    <w:t>《声环境质量标准》（GB3096—2008）中1类标准要求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0" w:type="pct"/>
                  <w:vMerge w:val="restart"/>
                  <w:vAlign w:val="center"/>
                </w:tcPr>
                <w:p>
                  <w:pPr>
                    <w:snapToGrid w:val="0"/>
                    <w:jc w:val="center"/>
                    <w:rPr>
                      <w:szCs w:val="21"/>
                    </w:rPr>
                  </w:pPr>
                  <w:r>
                    <w:rPr>
                      <w:rFonts w:hint="eastAsia"/>
                      <w:szCs w:val="21"/>
                    </w:rPr>
                    <w:t>环境空气</w:t>
                  </w:r>
                </w:p>
              </w:tc>
              <w:tc>
                <w:tcPr>
                  <w:tcW w:w="305" w:type="pct"/>
                  <w:vAlign w:val="center"/>
                </w:tcPr>
                <w:p>
                  <w:pPr>
                    <w:snapToGrid w:val="0"/>
                    <w:jc w:val="center"/>
                    <w:rPr>
                      <w:szCs w:val="21"/>
                    </w:rPr>
                  </w:pPr>
                  <w:r>
                    <w:rPr>
                      <w:szCs w:val="21"/>
                    </w:rPr>
                    <w:t>1</w:t>
                  </w:r>
                </w:p>
              </w:tc>
              <w:tc>
                <w:tcPr>
                  <w:tcW w:w="552" w:type="pct"/>
                  <w:vAlign w:val="center"/>
                </w:tcPr>
                <w:p>
                  <w:pPr>
                    <w:snapToGrid w:val="0"/>
                    <w:jc w:val="center"/>
                    <w:rPr>
                      <w:szCs w:val="21"/>
                    </w:rPr>
                  </w:pPr>
                  <w:r>
                    <w:rPr>
                      <w:rFonts w:hint="eastAsia"/>
                      <w:szCs w:val="21"/>
                    </w:rPr>
                    <w:t>天成化工宿舍</w:t>
                  </w:r>
                </w:p>
              </w:tc>
              <w:tc>
                <w:tcPr>
                  <w:tcW w:w="301" w:type="pct"/>
                  <w:vAlign w:val="center"/>
                </w:tcPr>
                <w:p>
                  <w:pPr>
                    <w:snapToGrid w:val="0"/>
                    <w:jc w:val="center"/>
                    <w:rPr>
                      <w:szCs w:val="21"/>
                    </w:rPr>
                  </w:pPr>
                  <w:r>
                    <w:rPr>
                      <w:rFonts w:hint="eastAsia"/>
                      <w:szCs w:val="21"/>
                    </w:rPr>
                    <w:t>W</w:t>
                  </w:r>
                </w:p>
              </w:tc>
              <w:tc>
                <w:tcPr>
                  <w:tcW w:w="575" w:type="pct"/>
                  <w:vAlign w:val="center"/>
                </w:tcPr>
                <w:p>
                  <w:pPr>
                    <w:jc w:val="center"/>
                    <w:rPr>
                      <w:szCs w:val="21"/>
                    </w:rPr>
                  </w:pPr>
                  <w:r>
                    <w:rPr>
                      <w:szCs w:val="21"/>
                    </w:rPr>
                    <w:t>39.796976</w:t>
                  </w:r>
                </w:p>
              </w:tc>
              <w:tc>
                <w:tcPr>
                  <w:tcW w:w="638" w:type="pct"/>
                  <w:vAlign w:val="center"/>
                </w:tcPr>
                <w:p>
                  <w:pPr>
                    <w:snapToGrid w:val="0"/>
                    <w:jc w:val="center"/>
                  </w:pPr>
                  <w:r>
                    <w:rPr>
                      <w:szCs w:val="21"/>
                    </w:rPr>
                    <w:t>119.325578</w:t>
                  </w:r>
                </w:p>
              </w:tc>
              <w:tc>
                <w:tcPr>
                  <w:tcW w:w="385" w:type="pct"/>
                  <w:vAlign w:val="center"/>
                </w:tcPr>
                <w:p>
                  <w:pPr>
                    <w:jc w:val="center"/>
                    <w:rPr>
                      <w:szCs w:val="21"/>
                    </w:rPr>
                  </w:pPr>
                  <w:r>
                    <w:rPr>
                      <w:rFonts w:hint="eastAsia"/>
                      <w:szCs w:val="21"/>
                    </w:rPr>
                    <w:t>16</w:t>
                  </w:r>
                </w:p>
              </w:tc>
              <w:tc>
                <w:tcPr>
                  <w:tcW w:w="532" w:type="pct"/>
                  <w:vAlign w:val="center"/>
                </w:tcPr>
                <w:p>
                  <w:pPr>
                    <w:snapToGrid w:val="0"/>
                    <w:jc w:val="center"/>
                    <w:rPr>
                      <w:szCs w:val="21"/>
                    </w:rPr>
                  </w:pPr>
                  <w:r>
                    <w:rPr>
                      <w:rFonts w:hint="eastAsia"/>
                      <w:szCs w:val="21"/>
                    </w:rPr>
                    <w:t>小区</w:t>
                  </w:r>
                </w:p>
              </w:tc>
              <w:tc>
                <w:tcPr>
                  <w:tcW w:w="1352" w:type="pct"/>
                  <w:vMerge w:val="restart"/>
                  <w:vAlign w:val="center"/>
                </w:tcPr>
                <w:p>
                  <w:pPr>
                    <w:snapToGrid w:val="0"/>
                    <w:jc w:val="center"/>
                    <w:rPr>
                      <w:szCs w:val="21"/>
                    </w:rPr>
                  </w:pPr>
                  <w:r>
                    <w:rPr>
                      <w:rFonts w:hint="eastAsia"/>
                      <w:szCs w:val="21"/>
                    </w:rPr>
                    <w:t>《环境空气质量标准》（</w:t>
                  </w:r>
                  <w:r>
                    <w:rPr>
                      <w:szCs w:val="21"/>
                    </w:rPr>
                    <w:t>GB3095-2012</w:t>
                  </w:r>
                  <w:r>
                    <w:rPr>
                      <w:rFonts w:hint="eastAsia"/>
                      <w:szCs w:val="21"/>
                    </w:rPr>
                    <w:t>）</w:t>
                  </w:r>
                  <w:r>
                    <w:rPr>
                      <w:szCs w:val="21"/>
                    </w:rPr>
                    <w:t>二级标准要求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0" w:type="pct"/>
                  <w:vMerge w:val="continue"/>
                  <w:vAlign w:val="center"/>
                </w:tcPr>
                <w:p>
                  <w:pPr>
                    <w:snapToGrid w:val="0"/>
                    <w:jc w:val="center"/>
                    <w:rPr>
                      <w:szCs w:val="21"/>
                    </w:rPr>
                  </w:pPr>
                </w:p>
              </w:tc>
              <w:tc>
                <w:tcPr>
                  <w:tcW w:w="305" w:type="pct"/>
                  <w:vAlign w:val="center"/>
                </w:tcPr>
                <w:p>
                  <w:pPr>
                    <w:snapToGrid w:val="0"/>
                    <w:jc w:val="center"/>
                  </w:pPr>
                  <w:r>
                    <w:rPr>
                      <w:rFonts w:hint="eastAsia"/>
                    </w:rPr>
                    <w:t>2</w:t>
                  </w:r>
                </w:p>
              </w:tc>
              <w:tc>
                <w:tcPr>
                  <w:tcW w:w="552" w:type="pct"/>
                  <w:vAlign w:val="center"/>
                </w:tcPr>
                <w:p>
                  <w:pPr>
                    <w:jc w:val="center"/>
                    <w:rPr>
                      <w:szCs w:val="21"/>
                    </w:rPr>
                  </w:pPr>
                  <w:r>
                    <w:rPr>
                      <w:rFonts w:hint="eastAsia"/>
                      <w:szCs w:val="21"/>
                    </w:rPr>
                    <w:t>毛家营村</w:t>
                  </w:r>
                </w:p>
              </w:tc>
              <w:tc>
                <w:tcPr>
                  <w:tcW w:w="301" w:type="pct"/>
                  <w:vAlign w:val="center"/>
                </w:tcPr>
                <w:p>
                  <w:pPr>
                    <w:jc w:val="center"/>
                    <w:rPr>
                      <w:szCs w:val="21"/>
                    </w:rPr>
                  </w:pPr>
                  <w:r>
                    <w:rPr>
                      <w:rFonts w:hint="eastAsia"/>
                      <w:szCs w:val="21"/>
                    </w:rPr>
                    <w:t>W</w:t>
                  </w:r>
                </w:p>
              </w:tc>
              <w:tc>
                <w:tcPr>
                  <w:tcW w:w="575" w:type="pct"/>
                  <w:vAlign w:val="center"/>
                </w:tcPr>
                <w:p>
                  <w:pPr>
                    <w:jc w:val="center"/>
                    <w:rPr>
                      <w:szCs w:val="21"/>
                    </w:rPr>
                  </w:pPr>
                  <w:r>
                    <w:rPr>
                      <w:szCs w:val="21"/>
                    </w:rPr>
                    <w:t>39.796047</w:t>
                  </w:r>
                </w:p>
              </w:tc>
              <w:tc>
                <w:tcPr>
                  <w:tcW w:w="638" w:type="pct"/>
                  <w:vAlign w:val="center"/>
                </w:tcPr>
                <w:p>
                  <w:pPr>
                    <w:snapToGrid w:val="0"/>
                    <w:jc w:val="center"/>
                  </w:pPr>
                  <w:r>
                    <w:t>119.317027</w:t>
                  </w:r>
                </w:p>
              </w:tc>
              <w:tc>
                <w:tcPr>
                  <w:tcW w:w="385" w:type="pct"/>
                  <w:vAlign w:val="center"/>
                </w:tcPr>
                <w:p>
                  <w:pPr>
                    <w:jc w:val="center"/>
                    <w:rPr>
                      <w:szCs w:val="21"/>
                    </w:rPr>
                  </w:pPr>
                  <w:r>
                    <w:rPr>
                      <w:rFonts w:hint="eastAsia"/>
                      <w:szCs w:val="21"/>
                    </w:rPr>
                    <w:t>100</w:t>
                  </w:r>
                </w:p>
              </w:tc>
              <w:tc>
                <w:tcPr>
                  <w:tcW w:w="532" w:type="pct"/>
                  <w:vAlign w:val="center"/>
                </w:tcPr>
                <w:p>
                  <w:pPr>
                    <w:snapToGrid w:val="0"/>
                    <w:jc w:val="center"/>
                  </w:pPr>
                  <w:r>
                    <w:rPr>
                      <w:rFonts w:hint="eastAsia"/>
                    </w:rPr>
                    <w:t>村庄</w:t>
                  </w:r>
                </w:p>
              </w:tc>
              <w:tc>
                <w:tcPr>
                  <w:tcW w:w="1352" w:type="pct"/>
                  <w:vMerge w:val="continue"/>
                  <w:vAlign w:val="center"/>
                </w:tcPr>
                <w:p>
                  <w:pPr>
                    <w:snapToGrid w:val="0"/>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360" w:type="pct"/>
                  <w:vMerge w:val="continue"/>
                  <w:vAlign w:val="center"/>
                </w:tcPr>
                <w:p>
                  <w:pPr>
                    <w:snapToGrid w:val="0"/>
                    <w:jc w:val="center"/>
                    <w:rPr>
                      <w:szCs w:val="21"/>
                    </w:rPr>
                  </w:pPr>
                </w:p>
              </w:tc>
              <w:tc>
                <w:tcPr>
                  <w:tcW w:w="305" w:type="pct"/>
                  <w:vAlign w:val="center"/>
                </w:tcPr>
                <w:p>
                  <w:pPr>
                    <w:snapToGrid w:val="0"/>
                    <w:jc w:val="center"/>
                  </w:pPr>
                  <w:r>
                    <w:rPr>
                      <w:rFonts w:hint="eastAsia"/>
                    </w:rPr>
                    <w:t>3</w:t>
                  </w:r>
                </w:p>
              </w:tc>
              <w:tc>
                <w:tcPr>
                  <w:tcW w:w="552" w:type="pct"/>
                  <w:vAlign w:val="center"/>
                </w:tcPr>
                <w:p>
                  <w:pPr>
                    <w:jc w:val="center"/>
                    <w:rPr>
                      <w:szCs w:val="21"/>
                    </w:rPr>
                  </w:pPr>
                  <w:r>
                    <w:rPr>
                      <w:rFonts w:hint="eastAsia"/>
                      <w:szCs w:val="21"/>
                    </w:rPr>
                    <w:t>刘义庄村</w:t>
                  </w:r>
                </w:p>
              </w:tc>
              <w:tc>
                <w:tcPr>
                  <w:tcW w:w="301" w:type="pct"/>
                  <w:vAlign w:val="center"/>
                </w:tcPr>
                <w:p>
                  <w:pPr>
                    <w:jc w:val="center"/>
                    <w:rPr>
                      <w:szCs w:val="21"/>
                    </w:rPr>
                  </w:pPr>
                  <w:r>
                    <w:rPr>
                      <w:rFonts w:hint="eastAsia"/>
                      <w:szCs w:val="21"/>
                    </w:rPr>
                    <w:t>E</w:t>
                  </w:r>
                </w:p>
              </w:tc>
              <w:tc>
                <w:tcPr>
                  <w:tcW w:w="575" w:type="pct"/>
                  <w:vAlign w:val="center"/>
                </w:tcPr>
                <w:p>
                  <w:pPr>
                    <w:jc w:val="center"/>
                    <w:rPr>
                      <w:szCs w:val="21"/>
                    </w:rPr>
                  </w:pPr>
                  <w:r>
                    <w:rPr>
                      <w:szCs w:val="21"/>
                    </w:rPr>
                    <w:t>39.798744</w:t>
                  </w:r>
                </w:p>
              </w:tc>
              <w:tc>
                <w:tcPr>
                  <w:tcW w:w="638" w:type="pct"/>
                  <w:vAlign w:val="center"/>
                </w:tcPr>
                <w:p>
                  <w:pPr>
                    <w:snapToGrid w:val="0"/>
                    <w:jc w:val="center"/>
                  </w:pPr>
                  <w:r>
                    <w:rPr>
                      <w:szCs w:val="21"/>
                    </w:rPr>
                    <w:t>119.334269</w:t>
                  </w:r>
                </w:p>
              </w:tc>
              <w:tc>
                <w:tcPr>
                  <w:tcW w:w="385" w:type="pct"/>
                  <w:vAlign w:val="center"/>
                </w:tcPr>
                <w:p>
                  <w:pPr>
                    <w:jc w:val="center"/>
                    <w:rPr>
                      <w:szCs w:val="21"/>
                    </w:rPr>
                  </w:pPr>
                  <w:r>
                    <w:rPr>
                      <w:rFonts w:hint="eastAsia"/>
                      <w:szCs w:val="21"/>
                    </w:rPr>
                    <w:t>400</w:t>
                  </w:r>
                </w:p>
              </w:tc>
              <w:tc>
                <w:tcPr>
                  <w:tcW w:w="532" w:type="pct"/>
                  <w:vAlign w:val="center"/>
                </w:tcPr>
                <w:p>
                  <w:pPr>
                    <w:snapToGrid w:val="0"/>
                    <w:jc w:val="center"/>
                  </w:pPr>
                  <w:r>
                    <w:rPr>
                      <w:rFonts w:hint="eastAsia"/>
                    </w:rPr>
                    <w:t>村庄</w:t>
                  </w:r>
                </w:p>
              </w:tc>
              <w:tc>
                <w:tcPr>
                  <w:tcW w:w="1352" w:type="pct"/>
                  <w:vMerge w:val="continue"/>
                  <w:vAlign w:val="center"/>
                </w:tcPr>
                <w:p>
                  <w:pPr>
                    <w:snapToGrid w:val="0"/>
                    <w:jc w:val="center"/>
                    <w:rPr>
                      <w:szCs w:val="21"/>
                    </w:rPr>
                  </w:pPr>
                </w:p>
              </w:tc>
            </w:tr>
          </w:tbl>
          <w:p>
            <w:pPr>
              <w:adjustRightInd w:val="0"/>
              <w:snapToGrid w:val="0"/>
              <w:spacing w:line="360" w:lineRule="auto"/>
              <w:ind w:firstLine="420" w:firstLineChars="200"/>
              <w:jc w:val="center"/>
              <w:rPr>
                <w:rFonts w:ascii="宋体" w:hAnsi="宋体" w:eastAsia="宋体" w:cs="宋体"/>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50" w:hRule="atLeast"/>
          <w:jc w:val="center"/>
        </w:trPr>
        <w:tc>
          <w:tcPr>
            <w:tcW w:w="800" w:type="dxa"/>
            <w:tcMar>
              <w:left w:w="28" w:type="dxa"/>
              <w:right w:w="28" w:type="dxa"/>
            </w:tcMar>
            <w:vAlign w:val="center"/>
          </w:tcPr>
          <w:p>
            <w:pPr>
              <w:adjustRightInd w:val="0"/>
              <w:snapToGrid w:val="0"/>
              <w:jc w:val="center"/>
              <w:rPr>
                <w:rFonts w:ascii="宋体" w:hAnsi="宋体" w:eastAsia="宋体" w:cs="宋体"/>
                <w:kern w:val="0"/>
                <w:szCs w:val="21"/>
              </w:rPr>
            </w:pPr>
            <w:r>
              <w:rPr>
                <w:rFonts w:hint="eastAsia" w:ascii="宋体" w:hAnsi="宋体" w:eastAsia="宋体" w:cs="宋体"/>
                <w:kern w:val="0"/>
                <w:szCs w:val="21"/>
              </w:rPr>
              <w:t>污染</w:t>
            </w:r>
          </w:p>
          <w:p>
            <w:pPr>
              <w:adjustRightInd w:val="0"/>
              <w:snapToGrid w:val="0"/>
              <w:jc w:val="center"/>
              <w:rPr>
                <w:rFonts w:ascii="宋体" w:hAnsi="宋体" w:eastAsia="宋体" w:cs="宋体"/>
                <w:kern w:val="0"/>
                <w:szCs w:val="21"/>
              </w:rPr>
            </w:pPr>
            <w:r>
              <w:rPr>
                <w:rFonts w:hint="eastAsia" w:ascii="宋体" w:hAnsi="宋体" w:eastAsia="宋体" w:cs="宋体"/>
                <w:kern w:val="0"/>
                <w:szCs w:val="21"/>
              </w:rPr>
              <w:t>物排</w:t>
            </w:r>
          </w:p>
          <w:p>
            <w:pPr>
              <w:adjustRightInd w:val="0"/>
              <w:snapToGrid w:val="0"/>
              <w:jc w:val="center"/>
              <w:rPr>
                <w:rFonts w:ascii="宋体" w:hAnsi="宋体" w:eastAsia="宋体" w:cs="宋体"/>
                <w:kern w:val="0"/>
                <w:szCs w:val="21"/>
              </w:rPr>
            </w:pPr>
            <w:r>
              <w:rPr>
                <w:rFonts w:hint="eastAsia" w:ascii="宋体" w:hAnsi="宋体" w:eastAsia="宋体" w:cs="宋体"/>
                <w:kern w:val="0"/>
                <w:szCs w:val="21"/>
              </w:rPr>
              <w:t>放控</w:t>
            </w:r>
          </w:p>
          <w:p>
            <w:pPr>
              <w:adjustRightInd w:val="0"/>
              <w:snapToGrid w:val="0"/>
              <w:jc w:val="center"/>
              <w:rPr>
                <w:rFonts w:ascii="宋体" w:hAnsi="宋体" w:eastAsia="宋体" w:cs="宋体"/>
                <w:kern w:val="0"/>
                <w:szCs w:val="21"/>
              </w:rPr>
            </w:pPr>
            <w:r>
              <w:rPr>
                <w:rFonts w:hint="eastAsia" w:ascii="宋体" w:hAnsi="宋体" w:eastAsia="宋体" w:cs="宋体"/>
                <w:kern w:val="0"/>
                <w:szCs w:val="21"/>
              </w:rPr>
              <w:t>制标准</w:t>
            </w:r>
          </w:p>
        </w:tc>
        <w:tc>
          <w:tcPr>
            <w:tcW w:w="8190" w:type="dxa"/>
            <w:vAlign w:val="center"/>
          </w:tcPr>
          <w:p>
            <w:pPr>
              <w:widowControl/>
              <w:adjustRightInd w:val="0"/>
              <w:snapToGrid w:val="0"/>
              <w:spacing w:line="360" w:lineRule="auto"/>
              <w:ind w:firstLine="420"/>
              <w:jc w:val="left"/>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（1）施工期</w:t>
            </w:r>
          </w:p>
          <w:p>
            <w:pPr>
              <w:widowControl/>
              <w:adjustRightInd w:val="0"/>
              <w:snapToGrid w:val="0"/>
              <w:spacing w:line="360" w:lineRule="auto"/>
              <w:ind w:firstLine="420"/>
              <w:jc w:val="left"/>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①施工扬尘执行《施工场地扬尘排放标准》（</w:t>
            </w:r>
            <w:r>
              <w:rPr>
                <w:rFonts w:ascii="Times New Roman" w:hAnsi="Times New Roman" w:eastAsia="宋体" w:cs="Times New Roman"/>
                <w:kern w:val="24"/>
                <w:szCs w:val="21"/>
              </w:rPr>
              <w:t>DB13/2934-2019）表1中的浓度限值；</w:t>
            </w:r>
          </w:p>
          <w:p>
            <w:pPr>
              <w:widowControl/>
              <w:adjustRightInd w:val="0"/>
              <w:snapToGrid w:val="0"/>
              <w:spacing w:line="360" w:lineRule="auto"/>
              <w:ind w:firstLine="420"/>
              <w:jc w:val="left"/>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②施工噪声执行《建筑施工场界环境噪声排放标准》（</w:t>
            </w:r>
            <w:r>
              <w:rPr>
                <w:rFonts w:ascii="Times New Roman" w:hAnsi="Times New Roman" w:eastAsia="宋体" w:cs="Times New Roman"/>
                <w:kern w:val="24"/>
                <w:szCs w:val="21"/>
              </w:rPr>
              <w:t>GB12523-2011）相关标准。</w:t>
            </w:r>
          </w:p>
          <w:p>
            <w:pPr>
              <w:widowControl/>
              <w:adjustRightInd w:val="0"/>
              <w:spacing w:line="360" w:lineRule="auto"/>
              <w:ind w:firstLine="420"/>
              <w:jc w:val="left"/>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施工期污染物排放标准具体标准值见表15和表16。</w:t>
            </w:r>
          </w:p>
          <w:p>
            <w:pPr>
              <w:adjustRightInd w:val="0"/>
              <w:snapToGrid w:val="0"/>
              <w:spacing w:before="120" w:beforeLines="50"/>
              <w:ind w:firstLine="422"/>
              <w:jc w:val="center"/>
              <w:rPr>
                <w:rFonts w:ascii="Times New Roman" w:hAnsi="Times New Roman" w:eastAsia="宋体" w:cs="Times New Roman"/>
                <w:b/>
                <w:szCs w:val="24"/>
              </w:rPr>
            </w:pPr>
            <w:bookmarkStart w:id="2" w:name="_Ref31793938"/>
            <w:r>
              <w:rPr>
                <w:rFonts w:hint="eastAsia" w:ascii="Times New Roman" w:hAnsi="Times New Roman" w:eastAsia="宋体" w:cs="Times New Roman"/>
                <w:b/>
                <w:szCs w:val="24"/>
              </w:rPr>
              <w:t xml:space="preserve">表 </w:t>
            </w:r>
            <w:bookmarkEnd w:id="2"/>
            <w:r>
              <w:rPr>
                <w:rFonts w:hint="eastAsia" w:ascii="Times New Roman" w:hAnsi="Times New Roman" w:eastAsia="宋体" w:cs="Times New Roman"/>
                <w:b/>
                <w:szCs w:val="24"/>
              </w:rPr>
              <w:t>15施工期污染物排放标准一览表</w:t>
            </w:r>
          </w:p>
          <w:tbl>
            <w:tblPr>
              <w:tblStyle w:val="18"/>
              <w:tblW w:w="84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7"/>
              <w:gridCol w:w="2834"/>
              <w:gridCol w:w="993"/>
              <w:gridCol w:w="1701"/>
              <w:gridCol w:w="20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9" w:hRule="atLeast"/>
                <w:jc w:val="center"/>
              </w:trPr>
              <w:tc>
                <w:tcPr>
                  <w:tcW w:w="897" w:type="dxa"/>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污染源类别</w:t>
                  </w:r>
                </w:p>
              </w:tc>
              <w:tc>
                <w:tcPr>
                  <w:tcW w:w="2834" w:type="dxa"/>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标准名称</w:t>
                  </w:r>
                </w:p>
              </w:tc>
              <w:tc>
                <w:tcPr>
                  <w:tcW w:w="993" w:type="dxa"/>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控制项目</w:t>
                  </w:r>
                </w:p>
              </w:tc>
              <w:tc>
                <w:tcPr>
                  <w:tcW w:w="1701" w:type="dxa"/>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监测点浓度限值</w:t>
                  </w:r>
                  <w:r>
                    <w:rPr>
                      <w:rFonts w:ascii="Times New Roman" w:hAnsi="Times New Roman" w:eastAsia="宋体" w:cs="Times New Roman"/>
                      <w:szCs w:val="21"/>
                      <w:vertAlign w:val="superscript"/>
                    </w:rPr>
                    <w:t>°</w:t>
                  </w:r>
                  <w:r>
                    <w:rPr>
                      <w:rFonts w:ascii="Times New Roman" w:hAnsi="Times New Roman" w:eastAsia="宋体" w:cs="Times New Roman"/>
                      <w:szCs w:val="21"/>
                    </w:rPr>
                    <w:t>（μg/m</w:t>
                  </w:r>
                  <w:r>
                    <w:rPr>
                      <w:rFonts w:ascii="Times New Roman" w:hAnsi="Times New Roman" w:eastAsia="宋体" w:cs="Times New Roman"/>
                      <w:szCs w:val="21"/>
                      <w:vertAlign w:val="superscript"/>
                    </w:rPr>
                    <w:t>3</w:t>
                  </w:r>
                  <w:r>
                    <w:rPr>
                      <w:rFonts w:ascii="Times New Roman" w:hAnsi="Times New Roman" w:eastAsia="宋体" w:cs="Times New Roman"/>
                      <w:szCs w:val="21"/>
                    </w:rPr>
                    <w:t>）</w:t>
                  </w:r>
                </w:p>
              </w:tc>
              <w:tc>
                <w:tcPr>
                  <w:tcW w:w="2059" w:type="dxa"/>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达标判定依据（次/天）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9" w:hRule="atLeast"/>
                <w:jc w:val="center"/>
              </w:trPr>
              <w:tc>
                <w:tcPr>
                  <w:tcW w:w="897" w:type="dxa"/>
                  <w:vMerge w:val="restar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废气</w:t>
                  </w:r>
                </w:p>
              </w:tc>
              <w:tc>
                <w:tcPr>
                  <w:tcW w:w="2834" w:type="dxa"/>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《施工场地扬尘排放标准》（DB13/2934-2019）表1</w:t>
                  </w:r>
                </w:p>
              </w:tc>
              <w:tc>
                <w:tcPr>
                  <w:tcW w:w="993" w:type="dxa"/>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PM</w:t>
                  </w:r>
                  <w:r>
                    <w:rPr>
                      <w:rFonts w:ascii="Times New Roman" w:hAnsi="Times New Roman" w:eastAsia="宋体" w:cs="Times New Roman"/>
                      <w:szCs w:val="21"/>
                      <w:vertAlign w:val="subscript"/>
                    </w:rPr>
                    <w:t>10</w:t>
                  </w:r>
                </w:p>
              </w:tc>
              <w:tc>
                <w:tcPr>
                  <w:tcW w:w="1701" w:type="dxa"/>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80</w:t>
                  </w:r>
                </w:p>
              </w:tc>
              <w:tc>
                <w:tcPr>
                  <w:tcW w:w="2059" w:type="dxa"/>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9" w:hRule="atLeast"/>
                <w:jc w:val="center"/>
              </w:trPr>
              <w:tc>
                <w:tcPr>
                  <w:tcW w:w="897" w:type="dxa"/>
                  <w:vMerge w:val="continue"/>
                  <w:vAlign w:val="center"/>
                </w:tcPr>
                <w:p>
                  <w:pPr>
                    <w:adjustRightInd w:val="0"/>
                    <w:snapToGrid w:val="0"/>
                    <w:jc w:val="center"/>
                    <w:rPr>
                      <w:rFonts w:ascii="Times New Roman" w:hAnsi="Times New Roman" w:eastAsia="宋体" w:cs="Times New Roman"/>
                      <w:szCs w:val="21"/>
                    </w:rPr>
                  </w:pPr>
                </w:p>
              </w:tc>
              <w:tc>
                <w:tcPr>
                  <w:tcW w:w="7587" w:type="dxa"/>
                  <w:gridSpan w:val="4"/>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vertAlign w:val="superscript"/>
                    </w:rPr>
                    <w:t>°</w:t>
                  </w:r>
                  <w:r>
                    <w:rPr>
                      <w:rFonts w:ascii="Times New Roman" w:hAnsi="Times New Roman" w:eastAsia="宋体" w:cs="Times New Roman"/>
                      <w:szCs w:val="21"/>
                    </w:rPr>
                    <w:t>指监测点PM</w:t>
                  </w:r>
                  <w:r>
                    <w:rPr>
                      <w:rFonts w:ascii="Times New Roman" w:hAnsi="Times New Roman" w:eastAsia="宋体" w:cs="Times New Roman"/>
                      <w:szCs w:val="21"/>
                      <w:vertAlign w:val="subscript"/>
                    </w:rPr>
                    <w:t>10</w:t>
                  </w:r>
                  <w:r>
                    <w:rPr>
                      <w:rFonts w:ascii="Times New Roman" w:hAnsi="Times New Roman" w:eastAsia="宋体" w:cs="Times New Roman"/>
                      <w:szCs w:val="21"/>
                    </w:rPr>
                    <w:t>小时平均浓度实测值与同时段所属县（市、区）PM</w:t>
                  </w:r>
                  <w:r>
                    <w:rPr>
                      <w:rFonts w:ascii="Times New Roman" w:hAnsi="Times New Roman" w:eastAsia="宋体" w:cs="Times New Roman"/>
                      <w:szCs w:val="21"/>
                      <w:vertAlign w:val="subscript"/>
                    </w:rPr>
                    <w:t>10</w:t>
                  </w:r>
                  <w:r>
                    <w:rPr>
                      <w:rFonts w:ascii="Times New Roman" w:hAnsi="Times New Roman" w:eastAsia="宋体" w:cs="Times New Roman"/>
                      <w:szCs w:val="21"/>
                    </w:rPr>
                    <w:t>小时平均浓度的差值。当县（市、区）PM</w:t>
                  </w:r>
                  <w:r>
                    <w:rPr>
                      <w:rFonts w:ascii="Times New Roman" w:hAnsi="Times New Roman" w:eastAsia="宋体" w:cs="Times New Roman"/>
                      <w:szCs w:val="21"/>
                      <w:vertAlign w:val="subscript"/>
                    </w:rPr>
                    <w:t>10</w:t>
                  </w:r>
                  <w:r>
                    <w:rPr>
                      <w:rFonts w:ascii="Times New Roman" w:hAnsi="Times New Roman" w:eastAsia="宋体" w:cs="Times New Roman"/>
                      <w:szCs w:val="21"/>
                    </w:rPr>
                    <w:t>小时平均浓度大于150μg/m</w:t>
                  </w:r>
                  <w:r>
                    <w:rPr>
                      <w:rFonts w:ascii="Times New Roman" w:hAnsi="Times New Roman" w:eastAsia="宋体" w:cs="Times New Roman"/>
                      <w:szCs w:val="21"/>
                      <w:vertAlign w:val="superscript"/>
                    </w:rPr>
                    <w:t>3</w:t>
                  </w:r>
                  <w:r>
                    <w:rPr>
                      <w:rFonts w:ascii="Times New Roman" w:hAnsi="Times New Roman" w:eastAsia="宋体" w:cs="Times New Roman"/>
                      <w:szCs w:val="21"/>
                    </w:rPr>
                    <w:t>，以150μg/m</w:t>
                  </w:r>
                  <w:r>
                    <w:rPr>
                      <w:rFonts w:ascii="Times New Roman" w:hAnsi="Times New Roman" w:eastAsia="宋体" w:cs="Times New Roman"/>
                      <w:szCs w:val="21"/>
                      <w:vertAlign w:val="superscript"/>
                    </w:rPr>
                    <w:t>3</w:t>
                  </w:r>
                  <w:r>
                    <w:rPr>
                      <w:rFonts w:ascii="Times New Roman" w:hAnsi="Times New Roman" w:eastAsia="宋体" w:cs="Times New Roman"/>
                      <w:szCs w:val="21"/>
                    </w:rPr>
                    <w:t>计。</w:t>
                  </w:r>
                </w:p>
              </w:tc>
            </w:tr>
          </w:tbl>
          <w:p>
            <w:pPr>
              <w:adjustRightInd w:val="0"/>
              <w:snapToGrid w:val="0"/>
              <w:spacing w:before="120" w:beforeLines="50"/>
              <w:ind w:firstLine="422"/>
              <w:jc w:val="center"/>
              <w:rPr>
                <w:rFonts w:ascii="Times New Roman" w:hAnsi="Times New Roman" w:eastAsia="宋体" w:cs="Times New Roman"/>
                <w:b/>
                <w:szCs w:val="24"/>
              </w:rPr>
            </w:pPr>
            <w:bookmarkStart w:id="3" w:name="_Ref31793950"/>
            <w:r>
              <w:rPr>
                <w:rFonts w:hint="eastAsia" w:ascii="Times New Roman" w:hAnsi="Times New Roman" w:eastAsia="宋体" w:cs="Times New Roman"/>
                <w:b/>
                <w:szCs w:val="24"/>
              </w:rPr>
              <w:t xml:space="preserve">表 </w:t>
            </w:r>
            <w:bookmarkEnd w:id="3"/>
            <w:r>
              <w:rPr>
                <w:rFonts w:hint="eastAsia" w:ascii="Times New Roman" w:hAnsi="Times New Roman" w:eastAsia="宋体" w:cs="Times New Roman"/>
                <w:b/>
                <w:szCs w:val="24"/>
              </w:rPr>
              <w:t>16施工期噪声排放标准一览表</w:t>
            </w:r>
          </w:p>
          <w:tbl>
            <w:tblPr>
              <w:tblStyle w:val="18"/>
              <w:tblW w:w="84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2693"/>
              <w:gridCol w:w="1276"/>
              <w:gridCol w:w="1276"/>
              <w:gridCol w:w="1209"/>
              <w:gridCol w:w="11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9" w:hRule="atLeast"/>
                <w:jc w:val="center"/>
              </w:trPr>
              <w:tc>
                <w:tcPr>
                  <w:tcW w:w="851" w:type="dxa"/>
                  <w:vMerge w:val="restar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污染源类别</w:t>
                  </w:r>
                </w:p>
              </w:tc>
              <w:tc>
                <w:tcPr>
                  <w:tcW w:w="2693" w:type="dxa"/>
                  <w:vMerge w:val="restar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标准名称</w:t>
                  </w:r>
                </w:p>
              </w:tc>
              <w:tc>
                <w:tcPr>
                  <w:tcW w:w="1276" w:type="dxa"/>
                  <w:vMerge w:val="restar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污染物</w:t>
                  </w:r>
                </w:p>
              </w:tc>
              <w:tc>
                <w:tcPr>
                  <w:tcW w:w="1276" w:type="dxa"/>
                  <w:vMerge w:val="restar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排放时段</w:t>
                  </w:r>
                </w:p>
              </w:tc>
              <w:tc>
                <w:tcPr>
                  <w:tcW w:w="2365" w:type="dxa"/>
                  <w:gridSpan w:val="2"/>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排放限值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9" w:hRule="atLeast"/>
                <w:jc w:val="center"/>
              </w:trPr>
              <w:tc>
                <w:tcPr>
                  <w:tcW w:w="851" w:type="dxa"/>
                  <w:vMerge w:val="continue"/>
                  <w:vAlign w:val="center"/>
                </w:tcPr>
                <w:p>
                  <w:pPr>
                    <w:adjustRightInd w:val="0"/>
                    <w:snapToGrid w:val="0"/>
                    <w:jc w:val="center"/>
                    <w:rPr>
                      <w:rFonts w:ascii="Times New Roman" w:hAnsi="Times New Roman" w:eastAsia="宋体" w:cs="Times New Roman"/>
                      <w:szCs w:val="21"/>
                    </w:rPr>
                  </w:pPr>
                </w:p>
              </w:tc>
              <w:tc>
                <w:tcPr>
                  <w:tcW w:w="2693" w:type="dxa"/>
                  <w:vMerge w:val="continue"/>
                  <w:vAlign w:val="center"/>
                </w:tcPr>
                <w:p>
                  <w:pPr>
                    <w:adjustRightInd w:val="0"/>
                    <w:snapToGrid w:val="0"/>
                    <w:jc w:val="center"/>
                    <w:rPr>
                      <w:rFonts w:ascii="Times New Roman" w:hAnsi="Times New Roman" w:eastAsia="宋体" w:cs="Times New Roman"/>
                      <w:szCs w:val="21"/>
                    </w:rPr>
                  </w:pPr>
                </w:p>
              </w:tc>
              <w:tc>
                <w:tcPr>
                  <w:tcW w:w="1276" w:type="dxa"/>
                  <w:vMerge w:val="continue"/>
                  <w:vAlign w:val="center"/>
                </w:tcPr>
                <w:p>
                  <w:pPr>
                    <w:adjustRightInd w:val="0"/>
                    <w:snapToGrid w:val="0"/>
                    <w:jc w:val="center"/>
                    <w:rPr>
                      <w:rFonts w:ascii="Times New Roman" w:hAnsi="Times New Roman" w:eastAsia="宋体" w:cs="Times New Roman"/>
                      <w:szCs w:val="21"/>
                    </w:rPr>
                  </w:pPr>
                </w:p>
              </w:tc>
              <w:tc>
                <w:tcPr>
                  <w:tcW w:w="1276" w:type="dxa"/>
                  <w:vMerge w:val="continue"/>
                  <w:vAlign w:val="center"/>
                </w:tcPr>
                <w:p>
                  <w:pPr>
                    <w:adjustRightInd w:val="0"/>
                    <w:snapToGrid w:val="0"/>
                    <w:jc w:val="center"/>
                    <w:rPr>
                      <w:rFonts w:ascii="Times New Roman" w:hAnsi="Times New Roman" w:eastAsia="宋体" w:cs="Times New Roman"/>
                      <w:szCs w:val="21"/>
                    </w:rPr>
                  </w:pPr>
                </w:p>
              </w:tc>
              <w:tc>
                <w:tcPr>
                  <w:tcW w:w="1209" w:type="dxa"/>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标准值</w:t>
                  </w:r>
                </w:p>
              </w:tc>
              <w:tc>
                <w:tcPr>
                  <w:tcW w:w="1156" w:type="dxa"/>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9" w:hRule="atLeast"/>
                <w:jc w:val="center"/>
              </w:trPr>
              <w:tc>
                <w:tcPr>
                  <w:tcW w:w="851" w:type="dxa"/>
                  <w:vMerge w:val="restar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噪声</w:t>
                  </w:r>
                </w:p>
              </w:tc>
              <w:tc>
                <w:tcPr>
                  <w:tcW w:w="2693" w:type="dxa"/>
                  <w:vMerge w:val="restar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《建筑施工场界环境噪声排放标准》（GB12523-2011）</w:t>
                  </w:r>
                </w:p>
              </w:tc>
              <w:tc>
                <w:tcPr>
                  <w:tcW w:w="1276" w:type="dxa"/>
                  <w:vMerge w:val="restar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等效声级</w:t>
                  </w:r>
                </w:p>
              </w:tc>
              <w:tc>
                <w:tcPr>
                  <w:tcW w:w="1276" w:type="dxa"/>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昼间</w:t>
                  </w:r>
                </w:p>
              </w:tc>
              <w:tc>
                <w:tcPr>
                  <w:tcW w:w="1209" w:type="dxa"/>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70</w:t>
                  </w:r>
                </w:p>
              </w:tc>
              <w:tc>
                <w:tcPr>
                  <w:tcW w:w="1156" w:type="dxa"/>
                  <w:vMerge w:val="restar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dB（A）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9" w:hRule="atLeast"/>
                <w:jc w:val="center"/>
              </w:trPr>
              <w:tc>
                <w:tcPr>
                  <w:tcW w:w="851" w:type="dxa"/>
                  <w:vMerge w:val="continue"/>
                  <w:vAlign w:val="center"/>
                </w:tcPr>
                <w:p>
                  <w:pPr>
                    <w:adjustRightInd w:val="0"/>
                    <w:snapToGrid w:val="0"/>
                    <w:jc w:val="center"/>
                    <w:rPr>
                      <w:rFonts w:ascii="Times New Roman" w:hAnsi="Times New Roman" w:eastAsia="宋体" w:cs="Times New Roman"/>
                      <w:szCs w:val="21"/>
                    </w:rPr>
                  </w:pPr>
                </w:p>
              </w:tc>
              <w:tc>
                <w:tcPr>
                  <w:tcW w:w="2693" w:type="dxa"/>
                  <w:vMerge w:val="continue"/>
                  <w:vAlign w:val="center"/>
                </w:tcPr>
                <w:p>
                  <w:pPr>
                    <w:adjustRightInd w:val="0"/>
                    <w:snapToGrid w:val="0"/>
                    <w:jc w:val="center"/>
                    <w:rPr>
                      <w:rFonts w:ascii="Times New Roman" w:hAnsi="Times New Roman" w:eastAsia="宋体" w:cs="Times New Roman"/>
                      <w:szCs w:val="21"/>
                    </w:rPr>
                  </w:pPr>
                </w:p>
              </w:tc>
              <w:tc>
                <w:tcPr>
                  <w:tcW w:w="1276" w:type="dxa"/>
                  <w:vMerge w:val="continue"/>
                  <w:vAlign w:val="center"/>
                </w:tcPr>
                <w:p>
                  <w:pPr>
                    <w:adjustRightInd w:val="0"/>
                    <w:snapToGrid w:val="0"/>
                    <w:jc w:val="center"/>
                    <w:rPr>
                      <w:rFonts w:ascii="Times New Roman" w:hAnsi="Times New Roman" w:eastAsia="宋体" w:cs="Times New Roman"/>
                      <w:szCs w:val="21"/>
                    </w:rPr>
                  </w:pPr>
                </w:p>
              </w:tc>
              <w:tc>
                <w:tcPr>
                  <w:tcW w:w="1276" w:type="dxa"/>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夜间</w:t>
                  </w:r>
                </w:p>
              </w:tc>
              <w:tc>
                <w:tcPr>
                  <w:tcW w:w="1209" w:type="dxa"/>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55</w:t>
                  </w:r>
                </w:p>
              </w:tc>
              <w:tc>
                <w:tcPr>
                  <w:tcW w:w="1156" w:type="dxa"/>
                  <w:vMerge w:val="continue"/>
                  <w:vAlign w:val="center"/>
                </w:tcPr>
                <w:p>
                  <w:pPr>
                    <w:adjustRightInd w:val="0"/>
                    <w:snapToGrid w:val="0"/>
                    <w:jc w:val="center"/>
                    <w:rPr>
                      <w:rFonts w:ascii="Times New Roman" w:hAnsi="Times New Roman" w:eastAsia="宋体" w:cs="Times New Roman"/>
                      <w:szCs w:val="21"/>
                    </w:rPr>
                  </w:pPr>
                </w:p>
              </w:tc>
            </w:tr>
          </w:tbl>
          <w:p>
            <w:pPr>
              <w:widowControl/>
              <w:adjustRightInd w:val="0"/>
              <w:snapToGrid w:val="0"/>
              <w:spacing w:line="360" w:lineRule="auto"/>
              <w:ind w:firstLine="420"/>
              <w:jc w:val="left"/>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（2）运营期</w:t>
            </w:r>
          </w:p>
          <w:p>
            <w:pPr>
              <w:adjustRightInd w:val="0"/>
              <w:snapToGrid w:val="0"/>
              <w:spacing w:line="360" w:lineRule="auto"/>
              <w:ind w:firstLine="482"/>
              <w:rPr>
                <w:rFonts w:ascii="Times New Roman" w:hAnsi="Times New Roman" w:eastAsia="宋体" w:cs="Times New Roman"/>
                <w:szCs w:val="24"/>
              </w:rPr>
            </w:pPr>
            <w:r>
              <w:rPr>
                <w:rFonts w:hint="eastAsia" w:ascii="Times New Roman" w:hAnsi="Times New Roman" w:eastAsia="宋体" w:cs="Times New Roman"/>
                <w:kern w:val="24"/>
                <w:szCs w:val="21"/>
              </w:rPr>
              <w:t>①</w:t>
            </w:r>
            <w:r>
              <w:rPr>
                <w:rFonts w:hint="eastAsia" w:ascii="Times New Roman" w:hAnsi="Times New Roman" w:eastAsia="宋体" w:cs="Times New Roman"/>
                <w:szCs w:val="24"/>
              </w:rPr>
              <w:t>噪声：东、西、北厂界环境噪声排放执行《工业企业厂界环境噪声排放标准》（</w:t>
            </w:r>
            <w:r>
              <w:rPr>
                <w:rFonts w:ascii="Times New Roman" w:hAnsi="Times New Roman" w:eastAsia="宋体" w:cs="Times New Roman"/>
                <w:szCs w:val="24"/>
              </w:rPr>
              <w:t>GB12348-2008）中</w:t>
            </w:r>
            <w:r>
              <w:rPr>
                <w:rFonts w:hint="eastAsia" w:ascii="Times New Roman" w:hAnsi="Times New Roman" w:eastAsia="宋体" w:cs="Times New Roman"/>
                <w:szCs w:val="24"/>
              </w:rPr>
              <w:t>2</w:t>
            </w:r>
            <w:r>
              <w:rPr>
                <w:rFonts w:ascii="Times New Roman" w:hAnsi="Times New Roman" w:eastAsia="宋体" w:cs="Times New Roman"/>
                <w:szCs w:val="24"/>
              </w:rPr>
              <w:t>类功能区标准</w:t>
            </w:r>
            <w:r>
              <w:rPr>
                <w:rFonts w:hint="eastAsia" w:ascii="Times New Roman" w:hAnsi="Times New Roman" w:eastAsia="宋体" w:cs="Times New Roman"/>
                <w:szCs w:val="24"/>
              </w:rPr>
              <w:t>，南厂界执行4类功能区标准，</w:t>
            </w:r>
            <w:r>
              <w:rPr>
                <w:rFonts w:ascii="Times New Roman" w:hAnsi="Times New Roman" w:eastAsia="宋体" w:cs="Times New Roman"/>
                <w:szCs w:val="24"/>
              </w:rPr>
              <w:t>噪声排放标准具体标准值见表</w:t>
            </w:r>
            <w:r>
              <w:rPr>
                <w:rFonts w:hint="eastAsia" w:ascii="Times New Roman" w:hAnsi="Times New Roman" w:eastAsia="宋体" w:cs="Times New Roman"/>
                <w:szCs w:val="24"/>
              </w:rPr>
              <w:t>18。</w:t>
            </w:r>
          </w:p>
          <w:p>
            <w:pPr>
              <w:adjustRightInd w:val="0"/>
              <w:snapToGrid w:val="0"/>
              <w:spacing w:before="120" w:beforeLines="50"/>
              <w:ind w:firstLine="422"/>
              <w:jc w:val="center"/>
              <w:rPr>
                <w:rFonts w:ascii="Times New Roman" w:hAnsi="Times New Roman" w:eastAsia="宋体" w:cs="Times New Roman"/>
                <w:b/>
                <w:szCs w:val="24"/>
              </w:rPr>
            </w:pPr>
            <w:r>
              <w:rPr>
                <w:rFonts w:hint="eastAsia" w:ascii="Times New Roman" w:hAnsi="Times New Roman" w:eastAsia="宋体" w:cs="Times New Roman"/>
                <w:b/>
                <w:szCs w:val="24"/>
              </w:rPr>
              <w:t>表17噪声排放标准一览表</w:t>
            </w: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2"/>
              <w:gridCol w:w="2537"/>
              <w:gridCol w:w="1201"/>
              <w:gridCol w:w="1201"/>
              <w:gridCol w:w="934"/>
              <w:gridCol w:w="934"/>
              <w:gridCol w:w="8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477" w:type="pct"/>
                  <w:vMerge w:val="restart"/>
                  <w:vAlign w:val="center"/>
                </w:tcPr>
                <w:p>
                  <w:pPr>
                    <w:adjustRightInd w:val="0"/>
                    <w:snapToGrid w:val="0"/>
                    <w:jc w:val="center"/>
                    <w:rPr>
                      <w:rFonts w:ascii="Times New Roman" w:hAnsi="Times New Roman" w:eastAsia="宋体" w:cs="Times New Roman"/>
                      <w:szCs w:val="20"/>
                    </w:rPr>
                  </w:pPr>
                  <w:r>
                    <w:rPr>
                      <w:rFonts w:ascii="Times New Roman" w:hAnsi="Times New Roman" w:eastAsia="宋体" w:cs="Times New Roman"/>
                      <w:szCs w:val="20"/>
                    </w:rPr>
                    <w:t>污染源类别</w:t>
                  </w:r>
                </w:p>
              </w:tc>
              <w:tc>
                <w:tcPr>
                  <w:tcW w:w="1508" w:type="pct"/>
                  <w:vMerge w:val="restart"/>
                  <w:vAlign w:val="center"/>
                </w:tcPr>
                <w:p>
                  <w:pPr>
                    <w:adjustRightInd w:val="0"/>
                    <w:snapToGrid w:val="0"/>
                    <w:jc w:val="center"/>
                    <w:rPr>
                      <w:rFonts w:ascii="Times New Roman" w:hAnsi="Times New Roman" w:eastAsia="宋体" w:cs="Times New Roman"/>
                      <w:szCs w:val="20"/>
                    </w:rPr>
                  </w:pPr>
                  <w:r>
                    <w:rPr>
                      <w:rFonts w:ascii="Times New Roman" w:hAnsi="Times New Roman" w:eastAsia="宋体" w:cs="Times New Roman"/>
                      <w:szCs w:val="20"/>
                    </w:rPr>
                    <w:t>标准名称</w:t>
                  </w:r>
                </w:p>
              </w:tc>
              <w:tc>
                <w:tcPr>
                  <w:tcW w:w="714" w:type="pct"/>
                  <w:vMerge w:val="restart"/>
                  <w:vAlign w:val="center"/>
                </w:tcPr>
                <w:p>
                  <w:pPr>
                    <w:adjustRightInd w:val="0"/>
                    <w:snapToGrid w:val="0"/>
                    <w:jc w:val="center"/>
                    <w:rPr>
                      <w:rFonts w:ascii="Times New Roman" w:hAnsi="Times New Roman" w:eastAsia="宋体" w:cs="Times New Roman"/>
                      <w:szCs w:val="20"/>
                    </w:rPr>
                  </w:pPr>
                  <w:r>
                    <w:rPr>
                      <w:rFonts w:ascii="Times New Roman" w:hAnsi="Times New Roman" w:eastAsia="宋体" w:cs="Times New Roman"/>
                      <w:szCs w:val="20"/>
                    </w:rPr>
                    <w:t>污染物</w:t>
                  </w:r>
                </w:p>
              </w:tc>
              <w:tc>
                <w:tcPr>
                  <w:tcW w:w="714" w:type="pct"/>
                  <w:vMerge w:val="restart"/>
                  <w:vAlign w:val="center"/>
                </w:tcPr>
                <w:p>
                  <w:pPr>
                    <w:adjustRightInd w:val="0"/>
                    <w:snapToGrid w:val="0"/>
                    <w:jc w:val="center"/>
                    <w:rPr>
                      <w:rFonts w:ascii="Times New Roman" w:hAnsi="Times New Roman" w:eastAsia="宋体" w:cs="Times New Roman"/>
                      <w:szCs w:val="20"/>
                    </w:rPr>
                  </w:pPr>
                  <w:r>
                    <w:rPr>
                      <w:rFonts w:ascii="Times New Roman" w:hAnsi="Times New Roman" w:eastAsia="宋体" w:cs="Times New Roman"/>
                      <w:szCs w:val="20"/>
                    </w:rPr>
                    <w:t>排放时段</w:t>
                  </w:r>
                </w:p>
              </w:tc>
              <w:tc>
                <w:tcPr>
                  <w:tcW w:w="555" w:type="pct"/>
                  <w:vMerge w:val="restart"/>
                  <w:vAlign w:val="center"/>
                </w:tcPr>
                <w:p>
                  <w:pPr>
                    <w:adjustRightInd w:val="0"/>
                    <w:snapToGrid w:val="0"/>
                    <w:jc w:val="center"/>
                    <w:rPr>
                      <w:rFonts w:ascii="Times New Roman" w:hAnsi="Times New Roman" w:eastAsia="宋体" w:cs="Times New Roman"/>
                      <w:szCs w:val="20"/>
                    </w:rPr>
                  </w:pPr>
                  <w:r>
                    <w:rPr>
                      <w:rFonts w:ascii="Times New Roman" w:hAnsi="Times New Roman" w:eastAsia="宋体" w:cs="Times New Roman"/>
                      <w:szCs w:val="20"/>
                    </w:rPr>
                    <w:t>级别</w:t>
                  </w:r>
                </w:p>
              </w:tc>
              <w:tc>
                <w:tcPr>
                  <w:tcW w:w="1032" w:type="pct"/>
                  <w:gridSpan w:val="2"/>
                  <w:vAlign w:val="center"/>
                </w:tcPr>
                <w:p>
                  <w:pPr>
                    <w:adjustRightInd w:val="0"/>
                    <w:snapToGrid w:val="0"/>
                    <w:jc w:val="center"/>
                    <w:rPr>
                      <w:rFonts w:ascii="Times New Roman" w:hAnsi="Times New Roman" w:eastAsia="宋体" w:cs="Times New Roman"/>
                      <w:szCs w:val="20"/>
                    </w:rPr>
                  </w:pPr>
                  <w:r>
                    <w:rPr>
                      <w:rFonts w:ascii="Times New Roman" w:hAnsi="Times New Roman" w:eastAsia="宋体" w:cs="Times New Roman"/>
                      <w:szCs w:val="20"/>
                    </w:rPr>
                    <w:t>排放限值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477" w:type="pct"/>
                  <w:vMerge w:val="continue"/>
                  <w:vAlign w:val="center"/>
                </w:tcPr>
                <w:p>
                  <w:pPr>
                    <w:adjustRightInd w:val="0"/>
                    <w:snapToGrid w:val="0"/>
                    <w:jc w:val="center"/>
                    <w:rPr>
                      <w:rFonts w:ascii="Times New Roman" w:hAnsi="Times New Roman" w:eastAsia="宋体" w:cs="Times New Roman"/>
                      <w:szCs w:val="20"/>
                    </w:rPr>
                  </w:pPr>
                </w:p>
              </w:tc>
              <w:tc>
                <w:tcPr>
                  <w:tcW w:w="1508" w:type="pct"/>
                  <w:vMerge w:val="continue"/>
                  <w:vAlign w:val="center"/>
                </w:tcPr>
                <w:p>
                  <w:pPr>
                    <w:adjustRightInd w:val="0"/>
                    <w:snapToGrid w:val="0"/>
                    <w:jc w:val="center"/>
                    <w:rPr>
                      <w:rFonts w:ascii="Times New Roman" w:hAnsi="Times New Roman" w:eastAsia="宋体" w:cs="Times New Roman"/>
                      <w:szCs w:val="20"/>
                    </w:rPr>
                  </w:pPr>
                </w:p>
              </w:tc>
              <w:tc>
                <w:tcPr>
                  <w:tcW w:w="714" w:type="pct"/>
                  <w:vMerge w:val="continue"/>
                  <w:vAlign w:val="center"/>
                </w:tcPr>
                <w:p>
                  <w:pPr>
                    <w:adjustRightInd w:val="0"/>
                    <w:snapToGrid w:val="0"/>
                    <w:jc w:val="center"/>
                    <w:rPr>
                      <w:rFonts w:ascii="Times New Roman" w:hAnsi="Times New Roman" w:eastAsia="宋体" w:cs="Times New Roman"/>
                      <w:szCs w:val="20"/>
                    </w:rPr>
                  </w:pPr>
                </w:p>
              </w:tc>
              <w:tc>
                <w:tcPr>
                  <w:tcW w:w="714" w:type="pct"/>
                  <w:vMerge w:val="continue"/>
                  <w:vAlign w:val="center"/>
                </w:tcPr>
                <w:p>
                  <w:pPr>
                    <w:adjustRightInd w:val="0"/>
                    <w:snapToGrid w:val="0"/>
                    <w:jc w:val="center"/>
                    <w:rPr>
                      <w:rFonts w:ascii="Times New Roman" w:hAnsi="Times New Roman" w:eastAsia="宋体" w:cs="Times New Roman"/>
                      <w:szCs w:val="20"/>
                    </w:rPr>
                  </w:pPr>
                </w:p>
              </w:tc>
              <w:tc>
                <w:tcPr>
                  <w:tcW w:w="555" w:type="pct"/>
                  <w:vMerge w:val="continue"/>
                  <w:vAlign w:val="center"/>
                </w:tcPr>
                <w:p>
                  <w:pPr>
                    <w:adjustRightInd w:val="0"/>
                    <w:snapToGrid w:val="0"/>
                    <w:jc w:val="center"/>
                    <w:rPr>
                      <w:rFonts w:ascii="Times New Roman" w:hAnsi="Times New Roman" w:eastAsia="宋体" w:cs="Times New Roman"/>
                      <w:szCs w:val="20"/>
                    </w:rPr>
                  </w:pPr>
                </w:p>
              </w:tc>
              <w:tc>
                <w:tcPr>
                  <w:tcW w:w="555" w:type="pct"/>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标准值</w:t>
                  </w:r>
                </w:p>
              </w:tc>
              <w:tc>
                <w:tcPr>
                  <w:tcW w:w="477" w:type="pct"/>
                  <w:vAlign w:val="center"/>
                </w:tcPr>
                <w:p>
                  <w:pPr>
                    <w:adjustRightInd w:val="0"/>
                    <w:snapToGrid w:val="0"/>
                    <w:jc w:val="center"/>
                    <w:rPr>
                      <w:rFonts w:ascii="Times New Roman" w:hAnsi="Times New Roman" w:eastAsia="宋体" w:cs="Times New Roman"/>
                      <w:szCs w:val="20"/>
                    </w:rPr>
                  </w:pPr>
                  <w:r>
                    <w:rPr>
                      <w:rFonts w:ascii="Times New Roman" w:hAnsi="Times New Roman" w:eastAsia="宋体" w:cs="Times New Roman"/>
                      <w:szCs w:val="20"/>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477" w:type="pct"/>
                  <w:vMerge w:val="restart"/>
                  <w:vAlign w:val="center"/>
                </w:tcPr>
                <w:p>
                  <w:pPr>
                    <w:adjustRightInd w:val="0"/>
                    <w:snapToGrid w:val="0"/>
                    <w:jc w:val="center"/>
                    <w:rPr>
                      <w:rFonts w:ascii="Times New Roman" w:hAnsi="Times New Roman" w:eastAsia="宋体" w:cs="Times New Roman"/>
                      <w:szCs w:val="20"/>
                    </w:rPr>
                  </w:pPr>
                  <w:r>
                    <w:rPr>
                      <w:rFonts w:ascii="Times New Roman" w:hAnsi="Times New Roman" w:eastAsia="宋体" w:cs="Times New Roman"/>
                      <w:szCs w:val="20"/>
                    </w:rPr>
                    <w:t>噪声</w:t>
                  </w:r>
                </w:p>
              </w:tc>
              <w:tc>
                <w:tcPr>
                  <w:tcW w:w="1508" w:type="pct"/>
                  <w:vMerge w:val="restart"/>
                  <w:vAlign w:val="center"/>
                </w:tcPr>
                <w:p>
                  <w:pPr>
                    <w:adjustRightInd w:val="0"/>
                    <w:snapToGrid w:val="0"/>
                    <w:jc w:val="center"/>
                    <w:rPr>
                      <w:rFonts w:ascii="Times New Roman" w:hAnsi="Times New Roman" w:eastAsia="宋体" w:cs="Times New Roman"/>
                      <w:szCs w:val="20"/>
                    </w:rPr>
                  </w:pPr>
                  <w:r>
                    <w:rPr>
                      <w:rFonts w:ascii="Times New Roman" w:hAnsi="Times New Roman" w:eastAsia="宋体" w:cs="Times New Roman"/>
                      <w:szCs w:val="20"/>
                    </w:rPr>
                    <w:t>《工业企业厂界环境噪声排放标准》（GB12348</w:t>
                  </w:r>
                  <w:r>
                    <w:rPr>
                      <w:rFonts w:hint="eastAsia" w:ascii="Times New Roman" w:hAnsi="Times New Roman" w:eastAsia="宋体" w:cs="Times New Roman"/>
                      <w:szCs w:val="20"/>
                    </w:rPr>
                    <w:t>-</w:t>
                  </w:r>
                  <w:r>
                    <w:rPr>
                      <w:rFonts w:ascii="Times New Roman" w:hAnsi="Times New Roman" w:eastAsia="宋体" w:cs="Times New Roman"/>
                      <w:szCs w:val="20"/>
                    </w:rPr>
                    <w:t>2008）</w:t>
                  </w:r>
                </w:p>
              </w:tc>
              <w:tc>
                <w:tcPr>
                  <w:tcW w:w="714" w:type="pct"/>
                  <w:vMerge w:val="restart"/>
                  <w:vAlign w:val="center"/>
                </w:tcPr>
                <w:p>
                  <w:pPr>
                    <w:adjustRightInd w:val="0"/>
                    <w:snapToGrid w:val="0"/>
                    <w:jc w:val="center"/>
                    <w:rPr>
                      <w:rFonts w:ascii="Times New Roman" w:hAnsi="Times New Roman" w:eastAsia="宋体" w:cs="Times New Roman"/>
                      <w:szCs w:val="20"/>
                    </w:rPr>
                  </w:pPr>
                  <w:r>
                    <w:rPr>
                      <w:rFonts w:ascii="Times New Roman" w:hAnsi="Times New Roman" w:eastAsia="宋体" w:cs="Times New Roman"/>
                      <w:szCs w:val="20"/>
                    </w:rPr>
                    <w:t>等效声级</w:t>
                  </w:r>
                </w:p>
              </w:tc>
              <w:tc>
                <w:tcPr>
                  <w:tcW w:w="714" w:type="pct"/>
                  <w:vAlign w:val="center"/>
                </w:tcPr>
                <w:p>
                  <w:pPr>
                    <w:adjustRightInd w:val="0"/>
                    <w:snapToGrid w:val="0"/>
                    <w:jc w:val="center"/>
                    <w:rPr>
                      <w:rFonts w:ascii="Times New Roman" w:hAnsi="Times New Roman" w:eastAsia="宋体" w:cs="Times New Roman"/>
                      <w:szCs w:val="20"/>
                    </w:rPr>
                  </w:pPr>
                  <w:r>
                    <w:rPr>
                      <w:rFonts w:ascii="Times New Roman" w:hAnsi="Times New Roman" w:eastAsia="宋体" w:cs="Times New Roman"/>
                      <w:szCs w:val="20"/>
                    </w:rPr>
                    <w:t>昼间</w:t>
                  </w:r>
                </w:p>
              </w:tc>
              <w:tc>
                <w:tcPr>
                  <w:tcW w:w="555" w:type="pct"/>
                  <w:vMerge w:val="restart"/>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2类</w:t>
                  </w:r>
                </w:p>
              </w:tc>
              <w:tc>
                <w:tcPr>
                  <w:tcW w:w="555" w:type="pct"/>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60</w:t>
                  </w:r>
                </w:p>
              </w:tc>
              <w:tc>
                <w:tcPr>
                  <w:tcW w:w="477" w:type="pct"/>
                  <w:vMerge w:val="restart"/>
                  <w:vAlign w:val="center"/>
                </w:tcPr>
                <w:p>
                  <w:pPr>
                    <w:adjustRightInd w:val="0"/>
                    <w:snapToGrid w:val="0"/>
                    <w:jc w:val="center"/>
                    <w:rPr>
                      <w:rFonts w:ascii="Times New Roman" w:hAnsi="Times New Roman" w:eastAsia="宋体" w:cs="Times New Roman"/>
                      <w:szCs w:val="20"/>
                    </w:rPr>
                  </w:pPr>
                  <w:r>
                    <w:rPr>
                      <w:rFonts w:ascii="Times New Roman" w:hAnsi="Times New Roman" w:eastAsia="宋体" w:cs="Times New Roman"/>
                      <w:szCs w:val="20"/>
                    </w:rPr>
                    <w:t>dB（A）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97" w:hRule="atLeast"/>
              </w:trPr>
              <w:tc>
                <w:tcPr>
                  <w:tcW w:w="477" w:type="pct"/>
                  <w:vMerge w:val="continue"/>
                  <w:vAlign w:val="center"/>
                </w:tcPr>
                <w:p>
                  <w:pPr>
                    <w:adjustRightInd w:val="0"/>
                    <w:snapToGrid w:val="0"/>
                    <w:jc w:val="center"/>
                    <w:rPr>
                      <w:rFonts w:ascii="Times New Roman" w:hAnsi="Times New Roman" w:eastAsia="宋体" w:cs="Times New Roman"/>
                      <w:szCs w:val="20"/>
                    </w:rPr>
                  </w:pPr>
                </w:p>
              </w:tc>
              <w:tc>
                <w:tcPr>
                  <w:tcW w:w="1508" w:type="pct"/>
                  <w:vMerge w:val="continue"/>
                  <w:vAlign w:val="center"/>
                </w:tcPr>
                <w:p>
                  <w:pPr>
                    <w:adjustRightInd w:val="0"/>
                    <w:snapToGrid w:val="0"/>
                    <w:jc w:val="center"/>
                    <w:rPr>
                      <w:rFonts w:ascii="Times New Roman" w:hAnsi="Times New Roman" w:eastAsia="宋体" w:cs="Times New Roman"/>
                      <w:szCs w:val="20"/>
                    </w:rPr>
                  </w:pPr>
                </w:p>
              </w:tc>
              <w:tc>
                <w:tcPr>
                  <w:tcW w:w="714" w:type="pct"/>
                  <w:vMerge w:val="continue"/>
                  <w:vAlign w:val="center"/>
                </w:tcPr>
                <w:p>
                  <w:pPr>
                    <w:adjustRightInd w:val="0"/>
                    <w:snapToGrid w:val="0"/>
                    <w:jc w:val="center"/>
                    <w:rPr>
                      <w:rFonts w:ascii="Times New Roman" w:hAnsi="Times New Roman" w:eastAsia="宋体" w:cs="Times New Roman"/>
                      <w:szCs w:val="20"/>
                    </w:rPr>
                  </w:pPr>
                </w:p>
              </w:tc>
              <w:tc>
                <w:tcPr>
                  <w:tcW w:w="714" w:type="pct"/>
                  <w:vAlign w:val="center"/>
                </w:tcPr>
                <w:p>
                  <w:pPr>
                    <w:adjustRightInd w:val="0"/>
                    <w:snapToGrid w:val="0"/>
                    <w:jc w:val="center"/>
                    <w:rPr>
                      <w:rFonts w:ascii="Times New Roman" w:hAnsi="Times New Roman" w:eastAsia="宋体" w:cs="Times New Roman"/>
                      <w:szCs w:val="20"/>
                    </w:rPr>
                  </w:pPr>
                  <w:r>
                    <w:rPr>
                      <w:rFonts w:ascii="Times New Roman" w:hAnsi="Times New Roman" w:eastAsia="宋体" w:cs="Times New Roman"/>
                      <w:szCs w:val="20"/>
                    </w:rPr>
                    <w:t>夜间</w:t>
                  </w:r>
                </w:p>
              </w:tc>
              <w:tc>
                <w:tcPr>
                  <w:tcW w:w="555" w:type="pct"/>
                  <w:vMerge w:val="continue"/>
                  <w:vAlign w:val="center"/>
                </w:tcPr>
                <w:p>
                  <w:pPr>
                    <w:adjustRightInd w:val="0"/>
                    <w:snapToGrid w:val="0"/>
                    <w:jc w:val="center"/>
                    <w:rPr>
                      <w:rFonts w:ascii="Times New Roman" w:hAnsi="Times New Roman" w:eastAsia="宋体" w:cs="Times New Roman"/>
                      <w:szCs w:val="20"/>
                    </w:rPr>
                  </w:pPr>
                </w:p>
              </w:tc>
              <w:tc>
                <w:tcPr>
                  <w:tcW w:w="555" w:type="pct"/>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50</w:t>
                  </w:r>
                </w:p>
              </w:tc>
              <w:tc>
                <w:tcPr>
                  <w:tcW w:w="477" w:type="pct"/>
                  <w:vMerge w:val="continue"/>
                  <w:vAlign w:val="center"/>
                </w:tcPr>
                <w:p>
                  <w:pPr>
                    <w:adjustRightInd w:val="0"/>
                    <w:snapToGrid w:val="0"/>
                    <w:jc w:val="center"/>
                    <w:rPr>
                      <w:rFonts w:ascii="Times New Roman" w:hAnsi="Times New Roman" w:eastAsia="宋体" w:cs="Times New Roman"/>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477" w:type="pct"/>
                  <w:vMerge w:val="continue"/>
                  <w:vAlign w:val="center"/>
                </w:tcPr>
                <w:p>
                  <w:pPr>
                    <w:adjustRightInd w:val="0"/>
                    <w:snapToGrid w:val="0"/>
                    <w:jc w:val="center"/>
                    <w:rPr>
                      <w:rFonts w:ascii="Times New Roman" w:hAnsi="Times New Roman" w:eastAsia="宋体" w:cs="Times New Roman"/>
                      <w:szCs w:val="20"/>
                    </w:rPr>
                  </w:pPr>
                </w:p>
              </w:tc>
              <w:tc>
                <w:tcPr>
                  <w:tcW w:w="1508" w:type="pct"/>
                  <w:vMerge w:val="continue"/>
                  <w:vAlign w:val="center"/>
                </w:tcPr>
                <w:p>
                  <w:pPr>
                    <w:adjustRightInd w:val="0"/>
                    <w:snapToGrid w:val="0"/>
                    <w:jc w:val="center"/>
                    <w:rPr>
                      <w:rFonts w:ascii="Times New Roman" w:hAnsi="Times New Roman" w:eastAsia="宋体" w:cs="Times New Roman"/>
                      <w:szCs w:val="20"/>
                    </w:rPr>
                  </w:pPr>
                </w:p>
              </w:tc>
              <w:tc>
                <w:tcPr>
                  <w:tcW w:w="714" w:type="pct"/>
                  <w:vMerge w:val="continue"/>
                  <w:vAlign w:val="center"/>
                </w:tcPr>
                <w:p>
                  <w:pPr>
                    <w:adjustRightInd w:val="0"/>
                    <w:snapToGrid w:val="0"/>
                    <w:jc w:val="center"/>
                    <w:rPr>
                      <w:rFonts w:ascii="Times New Roman" w:hAnsi="Times New Roman" w:eastAsia="宋体" w:cs="Times New Roman"/>
                      <w:szCs w:val="20"/>
                    </w:rPr>
                  </w:pPr>
                </w:p>
              </w:tc>
              <w:tc>
                <w:tcPr>
                  <w:tcW w:w="714" w:type="pct"/>
                  <w:vAlign w:val="center"/>
                </w:tcPr>
                <w:p>
                  <w:pPr>
                    <w:adjustRightInd w:val="0"/>
                    <w:snapToGrid w:val="0"/>
                    <w:jc w:val="center"/>
                    <w:rPr>
                      <w:rFonts w:ascii="Times New Roman" w:hAnsi="Times New Roman" w:eastAsia="宋体" w:cs="Times New Roman"/>
                      <w:szCs w:val="20"/>
                    </w:rPr>
                  </w:pPr>
                  <w:r>
                    <w:rPr>
                      <w:rFonts w:ascii="Times New Roman" w:hAnsi="Times New Roman" w:eastAsia="宋体" w:cs="Times New Roman"/>
                      <w:szCs w:val="20"/>
                    </w:rPr>
                    <w:t>昼间</w:t>
                  </w:r>
                </w:p>
              </w:tc>
              <w:tc>
                <w:tcPr>
                  <w:tcW w:w="555" w:type="pct"/>
                  <w:vMerge w:val="restart"/>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4类</w:t>
                  </w:r>
                </w:p>
              </w:tc>
              <w:tc>
                <w:tcPr>
                  <w:tcW w:w="555" w:type="pct"/>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70</w:t>
                  </w:r>
                </w:p>
              </w:tc>
              <w:tc>
                <w:tcPr>
                  <w:tcW w:w="477" w:type="pct"/>
                  <w:vMerge w:val="continue"/>
                  <w:vAlign w:val="center"/>
                </w:tcPr>
                <w:p>
                  <w:pPr>
                    <w:adjustRightInd w:val="0"/>
                    <w:snapToGrid w:val="0"/>
                    <w:jc w:val="center"/>
                    <w:rPr>
                      <w:rFonts w:ascii="Times New Roman" w:hAnsi="Times New Roman" w:eastAsia="宋体" w:cs="Times New Roman"/>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97" w:hRule="atLeast"/>
              </w:trPr>
              <w:tc>
                <w:tcPr>
                  <w:tcW w:w="477" w:type="pct"/>
                  <w:vMerge w:val="continue"/>
                  <w:vAlign w:val="center"/>
                </w:tcPr>
                <w:p>
                  <w:pPr>
                    <w:adjustRightInd w:val="0"/>
                    <w:snapToGrid w:val="0"/>
                    <w:jc w:val="center"/>
                    <w:rPr>
                      <w:rFonts w:ascii="Times New Roman" w:hAnsi="Times New Roman" w:eastAsia="宋体" w:cs="Times New Roman"/>
                      <w:szCs w:val="20"/>
                    </w:rPr>
                  </w:pPr>
                </w:p>
              </w:tc>
              <w:tc>
                <w:tcPr>
                  <w:tcW w:w="1508" w:type="pct"/>
                  <w:vMerge w:val="continue"/>
                  <w:vAlign w:val="center"/>
                </w:tcPr>
                <w:p>
                  <w:pPr>
                    <w:adjustRightInd w:val="0"/>
                    <w:snapToGrid w:val="0"/>
                    <w:jc w:val="center"/>
                    <w:rPr>
                      <w:rFonts w:ascii="Times New Roman" w:hAnsi="Times New Roman" w:eastAsia="宋体" w:cs="Times New Roman"/>
                      <w:szCs w:val="20"/>
                    </w:rPr>
                  </w:pPr>
                </w:p>
              </w:tc>
              <w:tc>
                <w:tcPr>
                  <w:tcW w:w="714" w:type="pct"/>
                  <w:vMerge w:val="continue"/>
                  <w:vAlign w:val="center"/>
                </w:tcPr>
                <w:p>
                  <w:pPr>
                    <w:adjustRightInd w:val="0"/>
                    <w:snapToGrid w:val="0"/>
                    <w:jc w:val="center"/>
                    <w:rPr>
                      <w:rFonts w:ascii="Times New Roman" w:hAnsi="Times New Roman" w:eastAsia="宋体" w:cs="Times New Roman"/>
                      <w:szCs w:val="20"/>
                    </w:rPr>
                  </w:pPr>
                </w:p>
              </w:tc>
              <w:tc>
                <w:tcPr>
                  <w:tcW w:w="714" w:type="pct"/>
                  <w:vAlign w:val="center"/>
                </w:tcPr>
                <w:p>
                  <w:pPr>
                    <w:adjustRightInd w:val="0"/>
                    <w:snapToGrid w:val="0"/>
                    <w:jc w:val="center"/>
                    <w:rPr>
                      <w:rFonts w:ascii="Times New Roman" w:hAnsi="Times New Roman" w:eastAsia="宋体" w:cs="Times New Roman"/>
                      <w:szCs w:val="20"/>
                    </w:rPr>
                  </w:pPr>
                  <w:r>
                    <w:rPr>
                      <w:rFonts w:ascii="Times New Roman" w:hAnsi="Times New Roman" w:eastAsia="宋体" w:cs="Times New Roman"/>
                      <w:szCs w:val="20"/>
                    </w:rPr>
                    <w:t>夜间</w:t>
                  </w:r>
                </w:p>
              </w:tc>
              <w:tc>
                <w:tcPr>
                  <w:tcW w:w="555" w:type="pct"/>
                  <w:vMerge w:val="continue"/>
                  <w:vAlign w:val="center"/>
                </w:tcPr>
                <w:p>
                  <w:pPr>
                    <w:adjustRightInd w:val="0"/>
                    <w:snapToGrid w:val="0"/>
                    <w:jc w:val="center"/>
                    <w:rPr>
                      <w:rFonts w:ascii="Times New Roman" w:hAnsi="Times New Roman" w:eastAsia="宋体" w:cs="Times New Roman"/>
                      <w:szCs w:val="20"/>
                    </w:rPr>
                  </w:pPr>
                </w:p>
              </w:tc>
              <w:tc>
                <w:tcPr>
                  <w:tcW w:w="555" w:type="pct"/>
                  <w:vAlign w:val="center"/>
                </w:tcPr>
                <w:p>
                  <w:pPr>
                    <w:adjustRightInd w:val="0"/>
                    <w:snapToGrid w:val="0"/>
                    <w:jc w:val="center"/>
                    <w:rPr>
                      <w:rFonts w:ascii="Times New Roman" w:hAnsi="Times New Roman" w:eastAsia="宋体" w:cs="Times New Roman"/>
                      <w:szCs w:val="20"/>
                    </w:rPr>
                  </w:pPr>
                  <w:r>
                    <w:rPr>
                      <w:rFonts w:hint="eastAsia" w:ascii="Times New Roman" w:hAnsi="Times New Roman" w:eastAsia="宋体" w:cs="Times New Roman"/>
                      <w:szCs w:val="20"/>
                    </w:rPr>
                    <w:t>55</w:t>
                  </w:r>
                </w:p>
              </w:tc>
              <w:tc>
                <w:tcPr>
                  <w:tcW w:w="477" w:type="pct"/>
                  <w:vMerge w:val="continue"/>
                  <w:vAlign w:val="center"/>
                </w:tcPr>
                <w:p>
                  <w:pPr>
                    <w:adjustRightInd w:val="0"/>
                    <w:snapToGrid w:val="0"/>
                    <w:jc w:val="center"/>
                    <w:rPr>
                      <w:rFonts w:ascii="Times New Roman" w:hAnsi="Times New Roman" w:eastAsia="宋体" w:cs="Times New Roman"/>
                      <w:szCs w:val="20"/>
                    </w:rPr>
                  </w:pPr>
                </w:p>
              </w:tc>
            </w:tr>
          </w:tbl>
          <w:p>
            <w:pPr>
              <w:widowControl/>
              <w:adjustRightInd w:val="0"/>
              <w:snapToGrid w:val="0"/>
              <w:spacing w:line="360" w:lineRule="auto"/>
              <w:ind w:firstLine="420"/>
              <w:jc w:val="left"/>
              <w:textAlignment w:val="baseline"/>
              <w:rPr>
                <w:rFonts w:ascii="Times New Roman" w:hAnsi="Times New Roman" w:eastAsia="宋体" w:cs="Times New Roman"/>
                <w:kern w:val="24"/>
                <w:szCs w:val="21"/>
              </w:rPr>
            </w:pPr>
            <w:r>
              <w:rPr>
                <w:rFonts w:hint="eastAsia" w:ascii="Times New Roman" w:hAnsi="Times New Roman" w:eastAsia="宋体" w:cs="Times New Roman"/>
                <w:szCs w:val="24"/>
              </w:rPr>
              <w:t>②</w:t>
            </w:r>
            <w:r>
              <w:rPr>
                <w:rFonts w:ascii="Times New Roman" w:hAnsi="Times New Roman" w:eastAsia="宋体" w:cs="Times New Roman"/>
                <w:kern w:val="24"/>
                <w:szCs w:val="21"/>
              </w:rPr>
              <w:t>废</w:t>
            </w:r>
            <w:r>
              <w:rPr>
                <w:rFonts w:hint="eastAsia" w:ascii="Times New Roman" w:hAnsi="Times New Roman" w:eastAsia="宋体" w:cs="Times New Roman"/>
                <w:kern w:val="24"/>
                <w:szCs w:val="21"/>
              </w:rPr>
              <w:t>气</w:t>
            </w:r>
            <w:r>
              <w:rPr>
                <w:rFonts w:ascii="Times New Roman" w:hAnsi="Times New Roman" w:eastAsia="宋体" w:cs="Times New Roman"/>
                <w:kern w:val="24"/>
                <w:szCs w:val="21"/>
              </w:rPr>
              <w:t>：</w:t>
            </w:r>
            <w:r>
              <w:rPr>
                <w:rFonts w:hint="eastAsia" w:ascii="Times New Roman" w:hAnsi="Times New Roman" w:eastAsia="宋体" w:cs="Times New Roman"/>
                <w:kern w:val="24"/>
                <w:szCs w:val="21"/>
              </w:rPr>
              <w:t>臭气浓度执行《恶臭污染物排放标准》（GB14554-93）中表1二级厂界标准值，具体标准见下表。</w:t>
            </w:r>
          </w:p>
          <w:p>
            <w:pPr>
              <w:adjustRightInd w:val="0"/>
              <w:snapToGrid w:val="0"/>
              <w:spacing w:before="120" w:beforeLines="50"/>
              <w:ind w:firstLine="422"/>
              <w:jc w:val="center"/>
              <w:rPr>
                <w:rFonts w:ascii="Times New Roman" w:hAnsi="Times New Roman" w:eastAsia="宋体" w:cs="Times New Roman"/>
                <w:b/>
                <w:szCs w:val="24"/>
              </w:rPr>
            </w:pPr>
            <w:r>
              <w:rPr>
                <w:rFonts w:hint="eastAsia" w:ascii="Times New Roman" w:hAnsi="Times New Roman" w:eastAsia="宋体" w:cs="Times New Roman"/>
                <w:b/>
                <w:szCs w:val="24"/>
              </w:rPr>
              <w:t>表18废气排放标准一览表</w:t>
            </w:r>
          </w:p>
          <w:tbl>
            <w:tblPr>
              <w:tblStyle w:val="1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95"/>
              <w:gridCol w:w="1527"/>
              <w:gridCol w:w="850"/>
              <w:gridCol w:w="2977"/>
              <w:gridCol w:w="851"/>
              <w:gridCol w:w="708"/>
              <w:gridCol w:w="9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97" w:hRule="atLeast"/>
                <w:jc w:val="center"/>
              </w:trPr>
              <w:tc>
                <w:tcPr>
                  <w:tcW w:w="1262" w:type="pct"/>
                  <w:gridSpan w:val="2"/>
                  <w:vMerge w:val="restar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污染源类别</w:t>
                  </w:r>
                </w:p>
              </w:tc>
              <w:tc>
                <w:tcPr>
                  <w:tcW w:w="505" w:type="pct"/>
                  <w:vMerge w:val="restar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污染物</w:t>
                  </w:r>
                </w:p>
              </w:tc>
              <w:tc>
                <w:tcPr>
                  <w:tcW w:w="1770" w:type="pct"/>
                  <w:vMerge w:val="restar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标准名称</w:t>
                  </w:r>
                </w:p>
              </w:tc>
              <w:tc>
                <w:tcPr>
                  <w:tcW w:w="506" w:type="pct"/>
                  <w:vMerge w:val="restar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级别</w:t>
                  </w:r>
                </w:p>
              </w:tc>
              <w:tc>
                <w:tcPr>
                  <w:tcW w:w="957" w:type="pct"/>
                  <w:gridSpan w:val="2"/>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排放限值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1262" w:type="pct"/>
                  <w:gridSpan w:val="2"/>
                  <w:vMerge w:val="continue"/>
                  <w:vAlign w:val="center"/>
                </w:tcPr>
                <w:p>
                  <w:pPr>
                    <w:adjustRightInd w:val="0"/>
                    <w:snapToGrid w:val="0"/>
                    <w:jc w:val="center"/>
                    <w:rPr>
                      <w:rFonts w:ascii="Times New Roman" w:hAnsi="Times New Roman" w:eastAsia="宋体" w:cs="Times New Roman"/>
                      <w:szCs w:val="21"/>
                    </w:rPr>
                  </w:pPr>
                </w:p>
              </w:tc>
              <w:tc>
                <w:tcPr>
                  <w:tcW w:w="505" w:type="pct"/>
                  <w:vMerge w:val="continue"/>
                  <w:vAlign w:val="center"/>
                </w:tcPr>
                <w:p>
                  <w:pPr>
                    <w:adjustRightInd w:val="0"/>
                    <w:snapToGrid w:val="0"/>
                    <w:jc w:val="center"/>
                    <w:rPr>
                      <w:rFonts w:ascii="Times New Roman" w:hAnsi="Times New Roman" w:eastAsia="宋体" w:cs="Times New Roman"/>
                      <w:szCs w:val="21"/>
                    </w:rPr>
                  </w:pPr>
                </w:p>
              </w:tc>
              <w:tc>
                <w:tcPr>
                  <w:tcW w:w="1770" w:type="pct"/>
                  <w:vMerge w:val="continue"/>
                  <w:vAlign w:val="center"/>
                </w:tcPr>
                <w:p>
                  <w:pPr>
                    <w:adjustRightInd w:val="0"/>
                    <w:snapToGrid w:val="0"/>
                    <w:jc w:val="center"/>
                    <w:rPr>
                      <w:rFonts w:ascii="Times New Roman" w:hAnsi="Times New Roman" w:eastAsia="宋体" w:cs="Times New Roman"/>
                      <w:szCs w:val="21"/>
                    </w:rPr>
                  </w:pPr>
                </w:p>
              </w:tc>
              <w:tc>
                <w:tcPr>
                  <w:tcW w:w="506" w:type="pct"/>
                  <w:vMerge w:val="continue"/>
                  <w:vAlign w:val="center"/>
                </w:tcPr>
                <w:p>
                  <w:pPr>
                    <w:adjustRightInd w:val="0"/>
                    <w:snapToGrid w:val="0"/>
                    <w:jc w:val="center"/>
                    <w:rPr>
                      <w:rFonts w:ascii="Times New Roman" w:hAnsi="Times New Roman" w:eastAsia="宋体" w:cs="Times New Roman"/>
                      <w:szCs w:val="21"/>
                    </w:rPr>
                  </w:pPr>
                </w:p>
              </w:tc>
              <w:tc>
                <w:tcPr>
                  <w:tcW w:w="421" w:type="pc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浓度</w:t>
                  </w:r>
                </w:p>
              </w:tc>
              <w:tc>
                <w:tcPr>
                  <w:tcW w:w="536" w:type="pc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778" w:hRule="atLeast"/>
                <w:jc w:val="center"/>
              </w:trPr>
              <w:tc>
                <w:tcPr>
                  <w:tcW w:w="354" w:type="pc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废气</w:t>
                  </w:r>
                </w:p>
              </w:tc>
              <w:tc>
                <w:tcPr>
                  <w:tcW w:w="908" w:type="pc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无组织排放</w:t>
                  </w:r>
                </w:p>
              </w:tc>
              <w:tc>
                <w:tcPr>
                  <w:tcW w:w="505" w:type="pc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臭气浓度</w:t>
                  </w:r>
                </w:p>
              </w:tc>
              <w:tc>
                <w:tcPr>
                  <w:tcW w:w="1770"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《恶臭污染物排放标准》（GB14554-93）表1</w:t>
                  </w:r>
                </w:p>
              </w:tc>
              <w:tc>
                <w:tcPr>
                  <w:tcW w:w="506" w:type="pc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二级</w:t>
                  </w:r>
                </w:p>
              </w:tc>
              <w:tc>
                <w:tcPr>
                  <w:tcW w:w="421"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20</w:t>
                  </w:r>
                </w:p>
              </w:tc>
              <w:tc>
                <w:tcPr>
                  <w:tcW w:w="536"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无量纲</w:t>
                  </w:r>
                </w:p>
              </w:tc>
            </w:tr>
          </w:tbl>
          <w:p>
            <w:pPr>
              <w:widowControl/>
              <w:adjustRightInd w:val="0"/>
              <w:snapToGrid w:val="0"/>
              <w:spacing w:line="360" w:lineRule="auto"/>
              <w:ind w:firstLine="420"/>
              <w:jc w:val="left"/>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（3）其他标准</w:t>
            </w:r>
          </w:p>
          <w:p>
            <w:pPr>
              <w:widowControl/>
              <w:adjustRightInd w:val="0"/>
              <w:snapToGrid w:val="0"/>
              <w:spacing w:line="360" w:lineRule="auto"/>
              <w:ind w:firstLine="420"/>
              <w:jc w:val="left"/>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一般工业固废贮存过程应满足相应防渗漏、防雨淋、防扬尘等环境保护要求。</w:t>
            </w:r>
            <w:r>
              <w:rPr>
                <w:rFonts w:ascii="Times New Roman" w:hAnsi="Times New Roman" w:eastAsia="宋体" w:cs="Times New Roman"/>
                <w:kern w:val="24"/>
                <w:szCs w:val="21"/>
              </w:rPr>
              <w:t xml:space="preserve"> </w:t>
            </w:r>
          </w:p>
          <w:p>
            <w:pPr>
              <w:adjustRightInd w:val="0"/>
              <w:spacing w:line="360" w:lineRule="auto"/>
              <w:rPr>
                <w:rFonts w:ascii="Times New Roman" w:hAnsi="Times New Roman" w:eastAsia="宋体" w:cs="Times New Roman"/>
                <w:kern w:val="24"/>
                <w:szCs w:val="24"/>
              </w:rPr>
            </w:pPr>
            <w:r>
              <w:rPr>
                <w:rFonts w:hint="eastAsia" w:ascii="Times New Roman" w:hAnsi="Times New Roman" w:eastAsia="宋体" w:cs="Times New Roman"/>
                <w:szCs w:val="24"/>
              </w:rPr>
              <w:t>危险废物贮存执行《危险废物贮存污染控制标准》（</w:t>
            </w:r>
            <w:r>
              <w:rPr>
                <w:rFonts w:ascii="Times New Roman" w:hAnsi="Times New Roman" w:eastAsia="宋体" w:cs="Times New Roman"/>
                <w:szCs w:val="24"/>
              </w:rPr>
              <w:t>GB18597-2001</w:t>
            </w:r>
            <w:r>
              <w:rPr>
                <w:rFonts w:hint="eastAsia" w:ascii="Times New Roman" w:hAnsi="Times New Roman" w:eastAsia="宋体" w:cs="Times New Roman"/>
                <w:szCs w:val="24"/>
              </w:rPr>
              <w:t>）及修改单中的有关规定和要求。</w:t>
            </w:r>
            <w:r>
              <w:rPr>
                <w:rFonts w:ascii="Times New Roman" w:hAnsi="Times New Roman" w:eastAsia="宋体" w:cs="Times New Roman"/>
                <w:szCs w:val="24"/>
              </w:rPr>
              <w:t xml:space="preserv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800" w:type="dxa"/>
            <w:vAlign w:val="center"/>
          </w:tcPr>
          <w:p>
            <w:pPr>
              <w:adjustRightInd w:val="0"/>
              <w:snapToGrid w:val="0"/>
              <w:jc w:val="center"/>
              <w:rPr>
                <w:rFonts w:ascii="宋体" w:hAnsi="宋体" w:eastAsia="宋体" w:cs="宋体"/>
                <w:kern w:val="0"/>
                <w:szCs w:val="21"/>
              </w:rPr>
            </w:pPr>
            <w:r>
              <w:rPr>
                <w:rFonts w:hint="eastAsia" w:ascii="宋体" w:hAnsi="宋体" w:eastAsia="宋体" w:cs="宋体"/>
                <w:kern w:val="0"/>
                <w:szCs w:val="21"/>
              </w:rPr>
              <w:t>总量</w:t>
            </w:r>
          </w:p>
          <w:p>
            <w:pPr>
              <w:adjustRightInd w:val="0"/>
              <w:snapToGrid w:val="0"/>
              <w:jc w:val="center"/>
              <w:rPr>
                <w:rFonts w:ascii="宋体" w:hAnsi="宋体" w:eastAsia="宋体" w:cs="宋体"/>
                <w:kern w:val="0"/>
                <w:szCs w:val="21"/>
              </w:rPr>
            </w:pPr>
            <w:r>
              <w:rPr>
                <w:rFonts w:hint="eastAsia" w:ascii="宋体" w:hAnsi="宋体" w:eastAsia="宋体" w:cs="宋体"/>
                <w:kern w:val="0"/>
                <w:szCs w:val="21"/>
              </w:rPr>
              <w:t>控制</w:t>
            </w:r>
          </w:p>
          <w:p>
            <w:pPr>
              <w:adjustRightInd w:val="0"/>
              <w:snapToGrid w:val="0"/>
              <w:jc w:val="center"/>
              <w:rPr>
                <w:rFonts w:ascii="宋体" w:hAnsi="宋体" w:eastAsia="宋体" w:cs="宋体"/>
                <w:kern w:val="0"/>
                <w:szCs w:val="21"/>
              </w:rPr>
            </w:pPr>
            <w:r>
              <w:rPr>
                <w:rFonts w:hint="eastAsia" w:ascii="宋体" w:hAnsi="宋体" w:eastAsia="宋体" w:cs="宋体"/>
                <w:kern w:val="0"/>
                <w:szCs w:val="21"/>
              </w:rPr>
              <w:t>指标</w:t>
            </w:r>
          </w:p>
        </w:tc>
        <w:tc>
          <w:tcPr>
            <w:tcW w:w="8190" w:type="dxa"/>
            <w:vAlign w:val="center"/>
          </w:tcPr>
          <w:p>
            <w:pPr>
              <w:widowControl/>
              <w:adjustRightInd w:val="0"/>
              <w:snapToGrid w:val="0"/>
              <w:spacing w:line="360" w:lineRule="auto"/>
              <w:ind w:firstLine="420"/>
              <w:jc w:val="left"/>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（1）废气</w:t>
            </w:r>
          </w:p>
          <w:p>
            <w:pPr>
              <w:widowControl/>
              <w:adjustRightInd w:val="0"/>
              <w:snapToGrid w:val="0"/>
              <w:spacing w:line="360" w:lineRule="auto"/>
              <w:ind w:firstLine="420"/>
              <w:jc w:val="left"/>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本项目不设置锅炉等设备，生产过程无SO</w:t>
            </w:r>
            <w:r>
              <w:rPr>
                <w:rFonts w:hint="eastAsia" w:ascii="Times New Roman" w:hAnsi="Times New Roman" w:eastAsia="宋体" w:cs="Times New Roman"/>
                <w:kern w:val="24"/>
                <w:szCs w:val="21"/>
                <w:vertAlign w:val="subscript"/>
              </w:rPr>
              <w:t>2</w:t>
            </w:r>
            <w:r>
              <w:rPr>
                <w:rFonts w:hint="eastAsia" w:ascii="Times New Roman" w:hAnsi="Times New Roman" w:eastAsia="宋体" w:cs="Times New Roman"/>
                <w:kern w:val="24"/>
                <w:szCs w:val="21"/>
              </w:rPr>
              <w:t>、NO</w:t>
            </w:r>
            <w:r>
              <w:rPr>
                <w:rFonts w:hint="eastAsia" w:ascii="Times New Roman" w:hAnsi="Times New Roman" w:eastAsia="宋体" w:cs="Times New Roman"/>
                <w:kern w:val="24"/>
                <w:szCs w:val="21"/>
                <w:vertAlign w:val="subscript"/>
              </w:rPr>
              <w:t>X</w:t>
            </w:r>
            <w:r>
              <w:rPr>
                <w:rFonts w:hint="eastAsia" w:ascii="Times New Roman" w:hAnsi="Times New Roman" w:eastAsia="宋体" w:cs="Times New Roman"/>
                <w:kern w:val="24"/>
                <w:szCs w:val="21"/>
              </w:rPr>
              <w:t>产生及排放，因此，SO</w:t>
            </w:r>
            <w:r>
              <w:rPr>
                <w:rFonts w:hint="eastAsia" w:ascii="Times New Roman" w:hAnsi="Times New Roman" w:eastAsia="宋体" w:cs="Times New Roman"/>
                <w:kern w:val="24"/>
                <w:szCs w:val="21"/>
                <w:vertAlign w:val="subscript"/>
              </w:rPr>
              <w:t>2</w:t>
            </w:r>
            <w:r>
              <w:rPr>
                <w:rFonts w:hint="eastAsia" w:ascii="Times New Roman" w:hAnsi="Times New Roman" w:eastAsia="宋体" w:cs="Times New Roman"/>
                <w:kern w:val="24"/>
                <w:szCs w:val="21"/>
              </w:rPr>
              <w:t>和NO</w:t>
            </w:r>
            <w:r>
              <w:rPr>
                <w:rFonts w:hint="eastAsia" w:ascii="Times New Roman" w:hAnsi="Times New Roman" w:eastAsia="宋体" w:cs="Times New Roman"/>
                <w:kern w:val="24"/>
                <w:szCs w:val="21"/>
                <w:vertAlign w:val="subscript"/>
              </w:rPr>
              <w:t>X</w:t>
            </w:r>
            <w:r>
              <w:rPr>
                <w:rFonts w:hint="eastAsia" w:ascii="Times New Roman" w:hAnsi="Times New Roman" w:eastAsia="宋体" w:cs="Times New Roman"/>
                <w:kern w:val="24"/>
                <w:szCs w:val="21"/>
              </w:rPr>
              <w:t>总量控制目标值均为0。且不涉及VOCs以及颗粒物的排放。</w:t>
            </w:r>
          </w:p>
          <w:p>
            <w:pPr>
              <w:widowControl/>
              <w:adjustRightInd w:val="0"/>
              <w:snapToGrid w:val="0"/>
              <w:spacing w:line="360" w:lineRule="auto"/>
              <w:ind w:firstLine="420"/>
              <w:jc w:val="left"/>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（2）废水</w:t>
            </w:r>
          </w:p>
          <w:p>
            <w:pPr>
              <w:widowControl/>
              <w:adjustRightInd w:val="0"/>
              <w:snapToGrid w:val="0"/>
              <w:spacing w:line="360" w:lineRule="auto"/>
              <w:ind w:firstLine="420"/>
              <w:jc w:val="left"/>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生产过程无废水排放，因此，COD、氨氮、总磷、总氮总量控制目标值均为0。</w:t>
            </w:r>
          </w:p>
          <w:p>
            <w:pPr>
              <w:widowControl/>
              <w:adjustRightInd w:val="0"/>
              <w:snapToGrid w:val="0"/>
              <w:spacing w:line="360" w:lineRule="auto"/>
              <w:ind w:firstLine="420"/>
              <w:jc w:val="left"/>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（3）总量控制指标</w:t>
            </w:r>
          </w:p>
          <w:p>
            <w:pPr>
              <w:widowControl/>
              <w:adjustRightInd w:val="0"/>
              <w:snapToGrid w:val="0"/>
              <w:spacing w:line="360" w:lineRule="auto"/>
              <w:ind w:firstLine="420"/>
              <w:jc w:val="left"/>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本项目污染物预测排放量为：SO</w:t>
            </w:r>
            <w:r>
              <w:rPr>
                <w:rFonts w:hint="eastAsia" w:ascii="Times New Roman" w:hAnsi="Times New Roman" w:eastAsia="宋体" w:cs="Times New Roman"/>
                <w:kern w:val="24"/>
                <w:szCs w:val="21"/>
                <w:vertAlign w:val="subscript"/>
              </w:rPr>
              <w:t>2</w:t>
            </w:r>
            <w:r>
              <w:rPr>
                <w:rFonts w:hint="eastAsia" w:ascii="Times New Roman" w:hAnsi="Times New Roman" w:eastAsia="宋体" w:cs="Times New Roman"/>
                <w:kern w:val="24"/>
                <w:szCs w:val="21"/>
              </w:rPr>
              <w:t>：0t/a、NO</w:t>
            </w:r>
            <w:r>
              <w:rPr>
                <w:rFonts w:hint="eastAsia" w:ascii="Times New Roman" w:hAnsi="Times New Roman" w:eastAsia="宋体" w:cs="Times New Roman"/>
                <w:kern w:val="24"/>
                <w:szCs w:val="21"/>
                <w:vertAlign w:val="subscript"/>
              </w:rPr>
              <w:t>X</w:t>
            </w:r>
            <w:r>
              <w:rPr>
                <w:rFonts w:hint="eastAsia" w:ascii="Times New Roman" w:hAnsi="Times New Roman" w:eastAsia="宋体" w:cs="Times New Roman"/>
                <w:kern w:val="24"/>
                <w:szCs w:val="21"/>
              </w:rPr>
              <w:t>：0t/a、COD：0t/a、氨氮：0t/a、总磷0t /a、总氮0t/a、VOCs：0t/a。</w:t>
            </w:r>
          </w:p>
        </w:tc>
      </w:tr>
    </w:tbl>
    <w:p>
      <w:pPr>
        <w:widowControl/>
        <w:spacing w:before="100" w:beforeAutospacing="1" w:after="100" w:afterAutospacing="1"/>
        <w:jc w:val="center"/>
        <w:outlineLvl w:val="0"/>
        <w:rPr>
          <w:rFonts w:ascii="黑体" w:hAnsi="黑体" w:eastAsia="黑体" w:cs="Times New Roman"/>
          <w:snapToGrid w:val="0"/>
          <w:kern w:val="0"/>
          <w:sz w:val="30"/>
          <w:szCs w:val="30"/>
          <w:lang w:val="zh-CN"/>
        </w:rPr>
      </w:pPr>
      <w:r>
        <w:rPr>
          <w:rFonts w:ascii="黑体" w:hAnsi="黑体" w:eastAsia="黑体" w:cs="Times New Roman"/>
          <w:snapToGrid w:val="0"/>
          <w:kern w:val="0"/>
          <w:sz w:val="36"/>
          <w:szCs w:val="36"/>
        </w:rPr>
        <w:br w:type="page"/>
      </w:r>
      <w:r>
        <w:rPr>
          <w:rFonts w:hint="eastAsia" w:ascii="黑体" w:hAnsi="黑体" w:eastAsia="黑体" w:cs="Times New Roman"/>
          <w:snapToGrid w:val="0"/>
          <w:kern w:val="0"/>
          <w:sz w:val="30"/>
          <w:szCs w:val="30"/>
          <w:lang w:val="zh-CN"/>
        </w:rPr>
        <w:t>四、主要环境影响和保护措施</w:t>
      </w:r>
    </w:p>
    <w:tbl>
      <w:tblPr>
        <w:tblStyle w:val="18"/>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266"/>
        <w:gridCol w:w="871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556" w:hRule="atLeast"/>
          <w:jc w:val="center"/>
        </w:trPr>
        <w:tc>
          <w:tcPr>
            <w:tcW w:w="266" w:type="dxa"/>
            <w:tcMar>
              <w:left w:w="28" w:type="dxa"/>
              <w:right w:w="28" w:type="dxa"/>
            </w:tcMar>
            <w:vAlign w:val="center"/>
          </w:tcPr>
          <w:p>
            <w:pPr>
              <w:widowControl/>
              <w:adjustRightInd w:val="0"/>
              <w:snapToGrid w:val="0"/>
              <w:jc w:val="center"/>
              <w:rPr>
                <w:rFonts w:ascii="宋体" w:hAnsi="宋体" w:eastAsia="宋体" w:cs="宋体"/>
                <w:szCs w:val="21"/>
              </w:rPr>
            </w:pPr>
            <w:r>
              <w:rPr>
                <w:rFonts w:hint="eastAsia" w:ascii="宋体" w:hAnsi="宋体" w:eastAsia="宋体" w:cs="宋体"/>
                <w:szCs w:val="21"/>
              </w:rPr>
              <w:t>施工</w:t>
            </w:r>
          </w:p>
          <w:p>
            <w:pPr>
              <w:widowControl/>
              <w:adjustRightInd w:val="0"/>
              <w:snapToGrid w:val="0"/>
              <w:jc w:val="center"/>
              <w:rPr>
                <w:rFonts w:ascii="宋体" w:hAnsi="宋体" w:eastAsia="宋体" w:cs="宋体"/>
                <w:szCs w:val="21"/>
              </w:rPr>
            </w:pPr>
            <w:r>
              <w:rPr>
                <w:rFonts w:hint="eastAsia" w:ascii="宋体" w:hAnsi="宋体" w:eastAsia="宋体" w:cs="宋体"/>
                <w:szCs w:val="21"/>
              </w:rPr>
              <w:t>期环</w:t>
            </w:r>
          </w:p>
          <w:p>
            <w:pPr>
              <w:widowControl/>
              <w:adjustRightInd w:val="0"/>
              <w:snapToGrid w:val="0"/>
              <w:jc w:val="center"/>
              <w:rPr>
                <w:rFonts w:ascii="宋体" w:hAnsi="宋体" w:eastAsia="宋体" w:cs="宋体"/>
                <w:szCs w:val="21"/>
              </w:rPr>
            </w:pPr>
            <w:r>
              <w:rPr>
                <w:rFonts w:hint="eastAsia" w:ascii="宋体" w:hAnsi="宋体" w:eastAsia="宋体" w:cs="宋体"/>
                <w:szCs w:val="21"/>
              </w:rPr>
              <w:t>境保护措施</w:t>
            </w:r>
          </w:p>
        </w:tc>
        <w:tc>
          <w:tcPr>
            <w:tcW w:w="8715" w:type="dxa"/>
          </w:tcPr>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项目施工期为5个月，施工内容主要包括生产车间的建设与设备设施的安装调试。在此期间将产生施工废气、噪声、废水、建筑垃圾和生活垃圾等。</w:t>
            </w:r>
          </w:p>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1、废气</w:t>
            </w:r>
          </w:p>
          <w:p>
            <w:pPr>
              <w:widowControl/>
              <w:adjustRightInd w:val="0"/>
              <w:snapToGrid w:val="0"/>
              <w:spacing w:line="360" w:lineRule="auto"/>
              <w:ind w:firstLine="420" w:firstLineChars="20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本项目施工期废气的影响主要为施工现场、设备安装及运输时产生的扬尘。</w:t>
            </w:r>
          </w:p>
          <w:p>
            <w:pPr>
              <w:widowControl/>
              <w:adjustRightInd w:val="0"/>
              <w:snapToGrid w:val="0"/>
              <w:spacing w:line="360" w:lineRule="auto"/>
              <w:ind w:firstLine="420" w:firstLineChars="20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在工程建筑物施工中，地基挖掘产生的弃土将临时贮存在施工现场周围，地基浇注完毕后，大部分用于回填地基，其余用于厂区平整。在其临时堆存过程中，在一定风力条件下，易产生一定量的二次扬尘。同时，基建施工过程中，水泥、白灰、沙石料堆存及混凝土搅拌也将产生一定量的二次扬尘。</w:t>
            </w:r>
          </w:p>
          <w:p>
            <w:pPr>
              <w:adjustRightInd w:val="0"/>
              <w:spacing w:line="360" w:lineRule="auto"/>
              <w:ind w:firstLine="420" w:firstLineChars="200"/>
              <w:rPr>
                <w:rFonts w:ascii="Times New Roman" w:hAnsi="Times New Roman" w:eastAsia="宋体" w:cs="Times New Roman"/>
                <w:szCs w:val="21"/>
              </w:rPr>
            </w:pPr>
            <w:r>
              <w:rPr>
                <w:rFonts w:ascii="Times New Roman" w:hAnsi="Times New Roman" w:eastAsia="宋体" w:cs="Times New Roman"/>
                <w:szCs w:val="21"/>
              </w:rPr>
              <w:t>根据《河北省大气污染防治行动计划实施方案》、</w:t>
            </w:r>
            <w:r>
              <w:rPr>
                <w:rFonts w:hint="default" w:ascii="Times New Roman" w:hAnsi="Times New Roman" w:eastAsia="宋体" w:cs="Times New Roman"/>
                <w:szCs w:val="21"/>
                <w:lang w:val="en-US" w:eastAsia="zh-CN"/>
              </w:rPr>
              <w:t>《河北省2022年建筑施工扬尘污染防治工作方案》</w:t>
            </w:r>
            <w:r>
              <w:rPr>
                <w:rFonts w:hint="eastAsia" w:ascii="Times New Roman" w:hAnsi="Times New Roman" w:eastAsia="宋体" w:cs="Times New Roman"/>
                <w:szCs w:val="21"/>
              </w:rPr>
              <w:t>以及《河北省扬尘污染防治办法》</w:t>
            </w:r>
            <w:r>
              <w:rPr>
                <w:rFonts w:ascii="Times New Roman" w:hAnsi="Times New Roman" w:eastAsia="宋体" w:cs="Times New Roman"/>
                <w:szCs w:val="21"/>
              </w:rPr>
              <w:t>中的要求，本工程施工过程中主要采取如下措施：</w:t>
            </w:r>
          </w:p>
          <w:p>
            <w:pPr>
              <w:widowControl/>
              <w:adjustRightInd w:val="0"/>
              <w:snapToGrid w:val="0"/>
              <w:spacing w:line="360" w:lineRule="auto"/>
              <w:ind w:left="420"/>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（1）加强现场执法检查，强化土方作业时段监督管理，增加检查频次，加大处罚力度，推进建筑工地绿色施工。</w:t>
            </w:r>
          </w:p>
          <w:p>
            <w:pPr>
              <w:widowControl/>
              <w:adjustRightInd w:val="0"/>
              <w:snapToGrid w:val="0"/>
              <w:spacing w:line="360" w:lineRule="auto"/>
              <w:ind w:left="420"/>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（2）建设工程施工现场必须全封闭设置围挡墙，严禁敞开式作业；施工现场道路、作业区必须进行地面硬化。</w:t>
            </w:r>
          </w:p>
          <w:p>
            <w:pPr>
              <w:widowControl/>
              <w:adjustRightInd w:val="0"/>
              <w:snapToGrid w:val="0"/>
              <w:spacing w:line="360" w:lineRule="auto"/>
              <w:ind w:left="420"/>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（3）对因堆放、装卸、运输、搅拌等易产生扬尘的污染源，应采取遮盖、洒水、封闭等控制措施。</w:t>
            </w:r>
          </w:p>
          <w:p>
            <w:pPr>
              <w:widowControl/>
              <w:adjustRightInd w:val="0"/>
              <w:snapToGrid w:val="0"/>
              <w:spacing w:line="360" w:lineRule="auto"/>
              <w:ind w:left="420"/>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（4）施工现场的垃圾要及时清运，建筑施工场地出口设置冲洗平台。严格执行资质管理与备案制度。</w:t>
            </w:r>
          </w:p>
          <w:p>
            <w:pPr>
              <w:widowControl/>
              <w:adjustRightInd w:val="0"/>
              <w:snapToGrid w:val="0"/>
              <w:spacing w:line="360" w:lineRule="auto"/>
              <w:ind w:left="420"/>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（5）施工现场的建筑垃圾必须设置垃圾存放点，集中堆放并严密覆盖，及时清运。生活垃圾应用封闭式容器存放，日产日清，严禁随意丢弃。</w:t>
            </w:r>
          </w:p>
          <w:p>
            <w:pPr>
              <w:widowControl/>
              <w:adjustRightInd w:val="0"/>
              <w:snapToGrid w:val="0"/>
              <w:spacing w:line="360" w:lineRule="auto"/>
              <w:ind w:left="420"/>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（6）施工现场必须建立洒水清扫抑尘制度，配备洒水设备。非冰冻期每天洒水不少于2次，并有专人负责。重污染天气时相应增加洒水频次。</w:t>
            </w:r>
          </w:p>
          <w:p>
            <w:pPr>
              <w:widowControl/>
              <w:adjustRightInd w:val="0"/>
              <w:snapToGrid w:val="0"/>
              <w:spacing w:line="360" w:lineRule="auto"/>
              <w:ind w:left="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（7）在施工现场出入口明显位置设置公示牌，公示施工现场负责人、环保监督员、防尘措施、扬尘监督管理部门、举报投诉电话等信息；</w:t>
            </w:r>
          </w:p>
          <w:p>
            <w:pPr>
              <w:widowControl/>
              <w:adjustRightInd w:val="0"/>
              <w:snapToGrid w:val="0"/>
              <w:spacing w:line="360" w:lineRule="auto"/>
              <w:ind w:left="420"/>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w:t>
            </w:r>
            <w:r>
              <w:rPr>
                <w:rFonts w:hint="eastAsia" w:ascii="Times New Roman" w:hAnsi="Times New Roman" w:eastAsia="宋体" w:cs="Times New Roman"/>
                <w:kern w:val="24"/>
                <w:szCs w:val="21"/>
              </w:rPr>
              <w:t>8</w:t>
            </w:r>
            <w:r>
              <w:rPr>
                <w:rFonts w:ascii="Times New Roman" w:hAnsi="Times New Roman" w:eastAsia="宋体" w:cs="Times New Roman"/>
                <w:kern w:val="24"/>
                <w:szCs w:val="21"/>
              </w:rPr>
              <w:t>）遇有4级以上大风或重污染天气预警时，必须采取扬尘防治应急措施；</w:t>
            </w:r>
          </w:p>
          <w:p>
            <w:pPr>
              <w:widowControl/>
              <w:adjustRightInd w:val="0"/>
              <w:snapToGrid w:val="0"/>
              <w:spacing w:line="360" w:lineRule="auto"/>
              <w:ind w:firstLine="420" w:firstLineChars="200"/>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采取以上措施后，可有效减少扬尘的产生，可将扬尘的影响范围降到50m范围内。采取以上措施后项目施工期间对敏感点的大气环境产生影响较小，可以满足《施工场地扬尘排放标准》(DB13/2934-2019)中的要求。</w:t>
            </w:r>
          </w:p>
          <w:p>
            <w:pPr>
              <w:widowControl/>
              <w:adjustRightInd w:val="0"/>
              <w:snapToGrid w:val="0"/>
              <w:spacing w:line="360" w:lineRule="auto"/>
              <w:ind w:firstLine="420" w:firstLineChars="200"/>
              <w:textAlignment w:val="baseline"/>
            </w:pPr>
            <w:r>
              <w:t>根据</w:t>
            </w:r>
            <w:r>
              <w:rPr>
                <w:rFonts w:hint="eastAsia"/>
              </w:rPr>
              <w:t>《施工场地扬尘排放标准》（DB13/2934-2019）</w:t>
            </w:r>
            <w:r>
              <w:t>，</w:t>
            </w:r>
            <w:r>
              <w:rPr>
                <w:rFonts w:hint="eastAsia"/>
              </w:rPr>
              <w:t>施工期</w:t>
            </w:r>
            <w:r>
              <w:t>场地面积小于</w:t>
            </w:r>
            <w:r>
              <w:rPr>
                <w:rFonts w:hint="eastAsia"/>
              </w:rPr>
              <w:t>5000m</w:t>
            </w:r>
            <w:r>
              <w:rPr>
                <w:rFonts w:hint="eastAsia"/>
                <w:vertAlign w:val="superscript"/>
              </w:rPr>
              <w:t>2</w:t>
            </w:r>
            <w:r>
              <w:t>，所以在出入口需要设</w:t>
            </w:r>
            <w:r>
              <w:rPr>
                <w:rFonts w:hint="eastAsia"/>
              </w:rPr>
              <w:t>1个监测点</w:t>
            </w:r>
            <w:r>
              <w:t>。</w:t>
            </w:r>
          </w:p>
          <w:p>
            <w:pPr>
              <w:widowControl/>
              <w:adjustRightInd w:val="0"/>
              <w:snapToGrid w:val="0"/>
              <w:spacing w:line="360" w:lineRule="auto"/>
              <w:ind w:left="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2、废水</w:t>
            </w:r>
          </w:p>
          <w:p>
            <w:pPr>
              <w:widowControl/>
              <w:adjustRightInd w:val="0"/>
              <w:snapToGrid w:val="0"/>
              <w:spacing w:line="360" w:lineRule="auto"/>
              <w:ind w:firstLine="420" w:firstLineChars="20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本项目生产车间、原料库等均为混凝土+彩钢瓦，不涉及生产废水，不设营地，施工人员盥洗用水用于厂区泼洒抑尘，对水环境影响较小。</w:t>
            </w:r>
          </w:p>
          <w:p>
            <w:pPr>
              <w:widowControl/>
              <w:adjustRightInd w:val="0"/>
              <w:snapToGrid w:val="0"/>
              <w:spacing w:line="360" w:lineRule="auto"/>
              <w:ind w:left="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3、噪声</w:t>
            </w:r>
          </w:p>
          <w:p>
            <w:pPr>
              <w:widowControl/>
              <w:adjustRightInd w:val="0"/>
              <w:snapToGrid w:val="0"/>
              <w:spacing w:line="360" w:lineRule="auto"/>
              <w:ind w:firstLine="420" w:firstLineChars="20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施工期噪声主要为各类施工及运输机械噪声，源强为75-100dB（A），在施工期间采取以下措施，减少对周围环境的影响：</w:t>
            </w:r>
          </w:p>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（1</w:t>
            </w:r>
            <w:r>
              <w:rPr>
                <w:rFonts w:ascii="Times New Roman" w:hAnsi="Times New Roman" w:eastAsia="宋体" w:cs="Times New Roman"/>
                <w:kern w:val="24"/>
                <w:szCs w:val="21"/>
              </w:rPr>
              <w:t>）运输车辆禁止高速行驶、鸣笛等，降低人为噪声影响；</w:t>
            </w:r>
          </w:p>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（2</w:t>
            </w:r>
            <w:r>
              <w:rPr>
                <w:rFonts w:ascii="Times New Roman" w:hAnsi="Times New Roman" w:eastAsia="宋体" w:cs="Times New Roman"/>
                <w:kern w:val="24"/>
                <w:szCs w:val="21"/>
              </w:rPr>
              <w:t>）严格控制施工车辆运输路线，控制车速，减少对周围敏感点的影响</w:t>
            </w:r>
            <w:r>
              <w:rPr>
                <w:rFonts w:hint="eastAsia" w:ascii="Times New Roman" w:hAnsi="Times New Roman" w:eastAsia="宋体" w:cs="Times New Roman"/>
                <w:kern w:val="24"/>
                <w:szCs w:val="21"/>
              </w:rPr>
              <w:t>；</w:t>
            </w:r>
          </w:p>
          <w:p>
            <w:pPr>
              <w:widowControl/>
              <w:adjustRightInd w:val="0"/>
              <w:snapToGrid w:val="0"/>
              <w:spacing w:line="360" w:lineRule="auto"/>
              <w:ind w:firstLine="420"/>
              <w:textAlignment w:val="baseline"/>
              <w:rPr>
                <w:rFonts w:ascii="宋体" w:hAnsi="宋体" w:eastAsia="宋体" w:cs="宋体"/>
                <w:kern w:val="24"/>
                <w:szCs w:val="21"/>
              </w:rPr>
            </w:pPr>
            <w:r>
              <w:rPr>
                <w:rFonts w:ascii="宋体" w:hAnsi="宋体" w:eastAsia="宋体" w:cs="宋体"/>
                <w:kern w:val="24"/>
                <w:szCs w:val="21"/>
              </w:rPr>
              <w:t>（</w:t>
            </w:r>
            <w:r>
              <w:rPr>
                <w:rFonts w:ascii="Times New Roman" w:hAnsi="Times New Roman" w:eastAsia="Times New Roman" w:cs="Times New Roman"/>
                <w:kern w:val="24"/>
                <w:szCs w:val="21"/>
              </w:rPr>
              <w:t>3</w:t>
            </w:r>
            <w:r>
              <w:rPr>
                <w:rFonts w:ascii="宋体" w:hAnsi="宋体" w:eastAsia="宋体" w:cs="宋体"/>
                <w:kern w:val="24"/>
                <w:szCs w:val="21"/>
              </w:rPr>
              <w:t>）施工过程选用低噪声设备，作业人员在工作中对噪音影响予以控制；</w:t>
            </w:r>
          </w:p>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宋体" w:hAnsi="宋体" w:eastAsia="宋体" w:cs="宋体"/>
                <w:kern w:val="24"/>
                <w:szCs w:val="21"/>
              </w:rPr>
              <w:t>（4）居民休息时间禁止施工，确保天成化工宿舍敏感点声环境质量达标。</w:t>
            </w:r>
          </w:p>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经上述一系列措施及经距离衰减后，施工过程对厂界的噪声贡献值较低，厂界噪声＜70dB（A），满足《建筑施工厂界环境噪声排放标准》（GB12523-2011）中要求，对声环境影响较小。</w:t>
            </w:r>
          </w:p>
          <w:p>
            <w:pPr>
              <w:widowControl/>
              <w:adjustRightInd w:val="0"/>
              <w:snapToGrid w:val="0"/>
              <w:spacing w:line="360" w:lineRule="auto"/>
              <w:ind w:left="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4、固体废物</w:t>
            </w:r>
          </w:p>
          <w:p>
            <w:pPr>
              <w:widowControl/>
              <w:adjustRightInd w:val="0"/>
              <w:snapToGrid w:val="0"/>
              <w:spacing w:line="360" w:lineRule="auto"/>
              <w:ind w:firstLine="420" w:firstLineChars="200"/>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施工期固体废物主要为建筑垃圾以及</w:t>
            </w:r>
            <w:r>
              <w:rPr>
                <w:rFonts w:hint="eastAsia" w:ascii="Times New Roman" w:hAnsi="Times New Roman" w:eastAsia="宋体" w:cs="Times New Roman"/>
                <w:kern w:val="24"/>
                <w:szCs w:val="21"/>
              </w:rPr>
              <w:t>施工人员产生的生活垃圾。</w:t>
            </w:r>
          </w:p>
          <w:p>
            <w:pPr>
              <w:widowControl/>
              <w:adjustRightInd w:val="0"/>
              <w:snapToGrid w:val="0"/>
              <w:spacing w:line="360" w:lineRule="auto"/>
              <w:ind w:firstLine="420" w:firstLineChars="20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项目施工中产生的建筑垃圾送政府主管部门指定地点处理，且在外运过程中用苫布覆盖，避免沿途遗洒，并按政府主管部门指定路线行驶，生活垃圾叫环卫部门定期清运。</w:t>
            </w:r>
          </w:p>
          <w:p>
            <w:pPr>
              <w:widowControl/>
              <w:adjustRightInd w:val="0"/>
              <w:snapToGrid w:val="0"/>
              <w:spacing w:line="360" w:lineRule="auto"/>
              <w:ind w:firstLine="420" w:firstLineChars="20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综上所述，施工期产生的固体废物全部得到妥善处置，不会对周围环境产生明显影响。为避免施工期建筑垃圾对周围环境产生不利影响，本评价要求建设单位采取以下防范措施：</w:t>
            </w:r>
          </w:p>
          <w:p>
            <w:pPr>
              <w:widowControl/>
              <w:adjustRightInd w:val="0"/>
              <w:snapToGrid w:val="0"/>
              <w:spacing w:line="360" w:lineRule="auto"/>
              <w:ind w:firstLine="482"/>
              <w:jc w:val="left"/>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1)</w:t>
            </w:r>
            <w:r>
              <w:rPr>
                <w:rFonts w:hint="eastAsia" w:ascii="Times New Roman" w:hAnsi="Times New Roman" w:eastAsia="宋体" w:cs="Times New Roman"/>
                <w:kern w:val="24"/>
                <w:szCs w:val="21"/>
              </w:rPr>
              <w:tab/>
            </w:r>
            <w:r>
              <w:rPr>
                <w:rFonts w:hint="eastAsia" w:ascii="Times New Roman" w:hAnsi="Times New Roman" w:eastAsia="宋体" w:cs="Times New Roman"/>
                <w:kern w:val="24"/>
                <w:szCs w:val="21"/>
              </w:rPr>
              <w:t>施工单位应指派专人负责施工区建筑垃圾的收集及转运工作，不得随意丢弃。</w:t>
            </w:r>
          </w:p>
          <w:p>
            <w:pPr>
              <w:widowControl/>
              <w:adjustRightInd w:val="0"/>
              <w:snapToGrid w:val="0"/>
              <w:spacing w:line="360" w:lineRule="auto"/>
              <w:ind w:firstLine="482"/>
              <w:jc w:val="left"/>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2)</w:t>
            </w:r>
            <w:r>
              <w:rPr>
                <w:rFonts w:hint="eastAsia" w:ascii="Times New Roman" w:hAnsi="Times New Roman" w:eastAsia="宋体" w:cs="Times New Roman"/>
                <w:kern w:val="24"/>
                <w:szCs w:val="21"/>
              </w:rPr>
              <w:tab/>
            </w:r>
            <w:r>
              <w:rPr>
                <w:rFonts w:hint="eastAsia" w:ascii="Times New Roman" w:hAnsi="Times New Roman" w:eastAsia="宋体" w:cs="Times New Roman"/>
                <w:kern w:val="24"/>
                <w:szCs w:val="21"/>
              </w:rPr>
              <w:t>施工现场废弃的建筑垃圾宜分类回收，施工中产生的碎砖、石、砼块、等建筑垃圾，应及时收集。</w:t>
            </w:r>
          </w:p>
          <w:p>
            <w:pPr>
              <w:widowControl/>
              <w:adjustRightInd w:val="0"/>
              <w:snapToGrid w:val="0"/>
              <w:spacing w:line="360" w:lineRule="auto"/>
              <w:ind w:left="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3)</w:t>
            </w:r>
            <w:r>
              <w:rPr>
                <w:rFonts w:hint="eastAsia" w:ascii="Times New Roman" w:hAnsi="Times New Roman" w:eastAsia="宋体" w:cs="Times New Roman"/>
                <w:kern w:val="24"/>
                <w:szCs w:val="21"/>
              </w:rPr>
              <w:tab/>
            </w:r>
            <w:r>
              <w:rPr>
                <w:rFonts w:hint="eastAsia" w:ascii="Times New Roman" w:hAnsi="Times New Roman" w:eastAsia="宋体" w:cs="Times New Roman"/>
                <w:kern w:val="24"/>
                <w:szCs w:val="21"/>
              </w:rPr>
              <w:t>各类建材的包装箱、袋等应派专人负责收集分类存放，统一运往废品收购站回收利用。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266" w:type="dxa"/>
            <w:tcBorders>
              <w:top w:val="single" w:color="auto" w:sz="4" w:space="0"/>
            </w:tcBorders>
            <w:tcMar>
              <w:left w:w="28" w:type="dxa"/>
              <w:right w:w="28" w:type="dxa"/>
            </w:tcMar>
            <w:vAlign w:val="center"/>
          </w:tcPr>
          <w:p>
            <w:pPr>
              <w:adjustRightInd w:val="0"/>
              <w:snapToGrid w:val="0"/>
              <w:jc w:val="center"/>
              <w:rPr>
                <w:rFonts w:ascii="宋体" w:hAnsi="宋体" w:eastAsia="宋体" w:cs="宋体"/>
                <w:bCs/>
                <w:szCs w:val="21"/>
              </w:rPr>
            </w:pPr>
            <w:r>
              <w:rPr>
                <w:rFonts w:hint="eastAsia" w:ascii="宋体" w:hAnsi="宋体" w:eastAsia="宋体" w:cs="宋体"/>
                <w:bCs/>
                <w:szCs w:val="21"/>
              </w:rPr>
              <w:t>运营</w:t>
            </w:r>
          </w:p>
          <w:p>
            <w:pPr>
              <w:adjustRightInd w:val="0"/>
              <w:snapToGrid w:val="0"/>
              <w:jc w:val="center"/>
              <w:rPr>
                <w:rFonts w:ascii="宋体" w:hAnsi="宋体" w:eastAsia="宋体" w:cs="宋体"/>
                <w:bCs/>
                <w:szCs w:val="21"/>
              </w:rPr>
            </w:pPr>
            <w:r>
              <w:rPr>
                <w:rFonts w:hint="eastAsia" w:ascii="宋体" w:hAnsi="宋体" w:eastAsia="宋体" w:cs="宋体"/>
                <w:bCs/>
                <w:szCs w:val="21"/>
              </w:rPr>
              <w:t>期环</w:t>
            </w:r>
          </w:p>
          <w:p>
            <w:pPr>
              <w:adjustRightInd w:val="0"/>
              <w:snapToGrid w:val="0"/>
              <w:jc w:val="center"/>
              <w:rPr>
                <w:rFonts w:ascii="宋体" w:hAnsi="宋体" w:eastAsia="宋体" w:cs="宋体"/>
                <w:bCs/>
                <w:szCs w:val="21"/>
              </w:rPr>
            </w:pPr>
            <w:r>
              <w:rPr>
                <w:rFonts w:hint="eastAsia" w:ascii="宋体" w:hAnsi="宋体" w:eastAsia="宋体" w:cs="宋体"/>
                <w:bCs/>
                <w:szCs w:val="21"/>
              </w:rPr>
              <w:t>境影</w:t>
            </w:r>
          </w:p>
          <w:p>
            <w:pPr>
              <w:adjustRightInd w:val="0"/>
              <w:snapToGrid w:val="0"/>
              <w:jc w:val="center"/>
              <w:rPr>
                <w:rFonts w:ascii="宋体" w:hAnsi="宋体" w:eastAsia="宋体" w:cs="宋体"/>
                <w:bCs/>
                <w:szCs w:val="21"/>
              </w:rPr>
            </w:pPr>
            <w:r>
              <w:rPr>
                <w:rFonts w:hint="eastAsia" w:ascii="宋体" w:hAnsi="宋体" w:eastAsia="宋体" w:cs="宋体"/>
                <w:bCs/>
                <w:szCs w:val="21"/>
              </w:rPr>
              <w:t>响和</w:t>
            </w:r>
          </w:p>
          <w:p>
            <w:pPr>
              <w:adjustRightInd w:val="0"/>
              <w:snapToGrid w:val="0"/>
              <w:jc w:val="center"/>
              <w:rPr>
                <w:rFonts w:ascii="宋体" w:hAnsi="宋体" w:eastAsia="宋体" w:cs="宋体"/>
                <w:bCs/>
                <w:szCs w:val="21"/>
              </w:rPr>
            </w:pPr>
            <w:r>
              <w:rPr>
                <w:rFonts w:hint="eastAsia" w:ascii="宋体" w:hAnsi="宋体" w:eastAsia="宋体" w:cs="宋体"/>
                <w:bCs/>
                <w:szCs w:val="21"/>
              </w:rPr>
              <w:t>保护</w:t>
            </w:r>
          </w:p>
          <w:p>
            <w:pPr>
              <w:adjustRightInd w:val="0"/>
              <w:snapToGrid w:val="0"/>
              <w:jc w:val="center"/>
              <w:rPr>
                <w:rFonts w:ascii="宋体" w:hAnsi="宋体" w:eastAsia="宋体" w:cs="宋体"/>
                <w:bCs/>
                <w:szCs w:val="21"/>
              </w:rPr>
            </w:pPr>
            <w:r>
              <w:rPr>
                <w:rFonts w:hint="eastAsia" w:ascii="宋体" w:hAnsi="宋体" w:eastAsia="宋体" w:cs="宋体"/>
                <w:bCs/>
                <w:szCs w:val="21"/>
              </w:rPr>
              <w:t>措施</w:t>
            </w:r>
          </w:p>
        </w:tc>
        <w:tc>
          <w:tcPr>
            <w:tcW w:w="8715" w:type="dxa"/>
            <w:tcBorders>
              <w:top w:val="single" w:color="auto" w:sz="4" w:space="0"/>
              <w:bottom w:val="single" w:color="auto" w:sz="4" w:space="0"/>
            </w:tcBorders>
          </w:tcPr>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1、废气</w:t>
            </w:r>
          </w:p>
          <w:p>
            <w:pPr>
              <w:widowControl/>
              <w:adjustRightInd w:val="0"/>
              <w:snapToGrid w:val="0"/>
              <w:spacing w:line="360" w:lineRule="auto"/>
              <w:ind w:firstLine="420"/>
              <w:textAlignment w:val="baseline"/>
              <w:rPr>
                <w:rFonts w:ascii="Times New Roman" w:hAnsi="Times New Roman" w:eastAsia="仿宋_GB2312" w:cs="Times New Roman"/>
                <w:kern w:val="24"/>
                <w:sz w:val="24"/>
                <w:szCs w:val="21"/>
                <w:lang w:val="zh-CN"/>
              </w:rPr>
            </w:pPr>
            <w:r>
              <w:rPr>
                <w:rFonts w:hint="eastAsia" w:ascii="Times New Roman" w:hAnsi="Times New Roman" w:eastAsia="宋体" w:cs="Times New Roman"/>
                <w:kern w:val="24"/>
                <w:szCs w:val="21"/>
              </w:rPr>
              <w:t>本项目在运营期主要为污水处理系统产生的臭气浓度，定期喷洒生物除臭剂，类比同类型企业，厂界浓度小于20（无量纲），可以满足《恶臭污染物排放标准》（GB14554-93）中表1二级厂界标准值。</w:t>
            </w:r>
          </w:p>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2、水环境</w:t>
            </w:r>
          </w:p>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（1）地表水</w:t>
            </w:r>
          </w:p>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1）源强计算</w:t>
            </w:r>
          </w:p>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破碎、甩干以及筛分废水经污水处理站处理后回用于生产。厕所为防渗旱厕，定期清掏，盥洗废水用于厂区泼洒抑尘。</w:t>
            </w:r>
          </w:p>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类比同类型企业，废水的产生量为2470t/a，废水经污水处理系统处理后，回用于生产，不外排。</w:t>
            </w:r>
          </w:p>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2）污水处理系统概况</w:t>
            </w:r>
          </w:p>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污水处理站设计处理能力为10m</w:t>
            </w:r>
            <w:r>
              <w:rPr>
                <w:rFonts w:hint="eastAsia" w:ascii="Times New Roman" w:hAnsi="Times New Roman" w:eastAsia="宋体" w:cs="Times New Roman"/>
                <w:kern w:val="24"/>
                <w:szCs w:val="21"/>
                <w:vertAlign w:val="superscript"/>
              </w:rPr>
              <w:t>3</w:t>
            </w:r>
            <w:r>
              <w:rPr>
                <w:rFonts w:hint="eastAsia" w:ascii="Times New Roman" w:hAnsi="Times New Roman" w:eastAsia="宋体" w:cs="Times New Roman"/>
                <w:kern w:val="24"/>
                <w:szCs w:val="21"/>
              </w:rPr>
              <w:t>/d，主要工艺为隔油池+絮凝沉淀。工艺流程图如下：</w:t>
            </w:r>
          </w:p>
          <w:p>
            <w:pPr>
              <w:widowControl/>
              <w:adjustRightInd w:val="0"/>
              <w:snapToGrid w:val="0"/>
              <w:spacing w:line="360" w:lineRule="auto"/>
              <w:jc w:val="center"/>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mc:AlternateContent>
                <mc:Choice Requires="wps">
                  <w:drawing>
                    <wp:anchor distT="0" distB="0" distL="114300" distR="114300" simplePos="0" relativeHeight="251663360" behindDoc="0" locked="0" layoutInCell="1" allowOverlap="1">
                      <wp:simplePos x="0" y="0"/>
                      <wp:positionH relativeFrom="column">
                        <wp:posOffset>2233930</wp:posOffset>
                      </wp:positionH>
                      <wp:positionV relativeFrom="paragraph">
                        <wp:posOffset>2291080</wp:posOffset>
                      </wp:positionV>
                      <wp:extent cx="1009650" cy="333375"/>
                      <wp:effectExtent l="0" t="0" r="19050" b="28575"/>
                      <wp:wrapNone/>
                      <wp:docPr id="30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1009650" cy="333375"/>
                              </a:xfrm>
                              <a:prstGeom prst="rect">
                                <a:avLst/>
                              </a:prstGeom>
                              <a:solidFill>
                                <a:srgbClr val="FFFFFF"/>
                              </a:solidFill>
                              <a:ln w="9525">
                                <a:solidFill>
                                  <a:srgbClr val="000000"/>
                                </a:solidFill>
                                <a:miter lim="800000"/>
                              </a:ln>
                            </wps:spPr>
                            <wps:txbx>
                              <w:txbxContent>
                                <w:p>
                                  <w:r>
                                    <w:rPr>
                                      <w:rFonts w:hint="eastAsia"/>
                                    </w:rPr>
                                    <w:t>絮凝沉淀器</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175.9pt;margin-top:180.4pt;height:26.25pt;width:79.5pt;z-index:251663360;mso-width-relative:page;mso-height-relative:page;" fillcolor="#FFFFFF" filled="t" stroked="t" coordsize="21600,21600" o:gfxdata="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zOhz4NgAAAALAQAADwAAAAAAAAABACAAAAAiAAAAZHJzL2Rv&#10;d25yZXYueG1sUEsBAhQAFAAAAAgAh07iQJmgBG06AgAAfQQAAA4AAAAAAAAAAQAgAAAAJwEAAGRy&#10;cy9lMm9Eb2MueG1sUEsFBgAAAAAGAAYAWQEAANMFAAAAAA==&#10;">
                      <v:fill on="t" focussize="0,0"/>
                      <v:stroke color="#000000" miterlimit="8" joinstyle="miter"/>
                      <v:imagedata o:title=""/>
                      <o:lock v:ext="edit" aspectratio="f"/>
                      <v:textbox>
                        <w:txbxContent>
                          <w:p>
                            <w:r>
                              <w:rPr>
                                <w:rFonts w:hint="eastAsia"/>
                              </w:rPr>
                              <w:t>絮凝沉淀器</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1195705</wp:posOffset>
                      </wp:positionH>
                      <wp:positionV relativeFrom="paragraph">
                        <wp:posOffset>2101215</wp:posOffset>
                      </wp:positionV>
                      <wp:extent cx="895350" cy="304800"/>
                      <wp:effectExtent l="0" t="0" r="0" b="0"/>
                      <wp:wrapNone/>
                      <wp:docPr id="5" name="矩形 5"/>
                      <wp:cNvGraphicFramePr/>
                      <a:graphic xmlns:a="http://schemas.openxmlformats.org/drawingml/2006/main">
                        <a:graphicData uri="http://schemas.microsoft.com/office/word/2010/wordprocessingShape">
                          <wps:wsp>
                            <wps:cNvSpPr/>
                            <wps:spPr>
                              <a:xfrm>
                                <a:off x="0" y="0"/>
                                <a:ext cx="895350" cy="3048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94.15pt;margin-top:165.45pt;height:24pt;width:70.5pt;z-index:251662336;v-text-anchor:middle;mso-width-relative:page;mso-height-relative:page;" fillcolor="#FFFFFF [3212]" filled="t" stroked="f" coordsize="21600,21600" o:gfxdata="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BnJWsM&#10;1QAAAAsBAAAPAAAAAAAAAAEAIAAAACIAAABkcnMvZG93bnJldi54bWxQSwECFAAUAAAACACHTuJA&#10;iZC2Z10CAACzBAAADgAAAAAAAAABACAAAAAkAQAAZHJzL2Uyb0RvYy54bWxQSwUGAAAAAAYABgBZ&#10;AQAA8wUAAAAA&#10;">
                      <v:fill on="t" focussize="0,0"/>
                      <v:stroke on="f" weight="2pt"/>
                      <v:imagedata o:title=""/>
                      <o:lock v:ext="edit" aspectratio="f"/>
                    </v:rect>
                  </w:pict>
                </mc:Fallback>
              </mc:AlternateContent>
            </w:r>
            <w:r>
              <w:drawing>
                <wp:inline distT="0" distB="0" distL="0" distR="0">
                  <wp:extent cx="4373245" cy="3378835"/>
                  <wp:effectExtent l="0" t="0" r="8255"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6"/>
                          <a:stretch>
                            <a:fillRect/>
                          </a:stretch>
                        </pic:blipFill>
                        <pic:spPr>
                          <a:xfrm>
                            <a:off x="0" y="0"/>
                            <a:ext cx="4371509" cy="3377267"/>
                          </a:xfrm>
                          <a:prstGeom prst="rect">
                            <a:avLst/>
                          </a:prstGeom>
                        </pic:spPr>
                      </pic:pic>
                    </a:graphicData>
                  </a:graphic>
                </wp:inline>
              </w:drawing>
            </w:r>
          </w:p>
          <w:p>
            <w:pPr>
              <w:widowControl/>
              <w:adjustRightInd w:val="0"/>
              <w:snapToGrid w:val="0"/>
              <w:spacing w:line="360" w:lineRule="auto"/>
              <w:ind w:firstLine="420"/>
              <w:jc w:val="center"/>
              <w:textAlignment w:val="baseline"/>
              <w:rPr>
                <w:rFonts w:ascii="Times New Roman" w:hAnsi="Times New Roman" w:eastAsia="宋体" w:cs="Times New Roman"/>
                <w:b/>
                <w:kern w:val="24"/>
                <w:szCs w:val="21"/>
              </w:rPr>
            </w:pPr>
            <w:r>
              <w:rPr>
                <w:rFonts w:hint="eastAsia" w:ascii="Times New Roman" w:hAnsi="Times New Roman" w:eastAsia="宋体" w:cs="Times New Roman"/>
                <w:b/>
                <w:kern w:val="24"/>
                <w:szCs w:val="21"/>
              </w:rPr>
              <w:t>图3  污水处理系统工艺流程图</w:t>
            </w:r>
          </w:p>
          <w:p>
            <w:pPr>
              <w:widowControl/>
              <w:adjustRightInd w:val="0"/>
              <w:snapToGrid w:val="0"/>
              <w:spacing w:line="360" w:lineRule="auto"/>
              <w:ind w:firstLine="420"/>
              <w:jc w:val="left"/>
              <w:textAlignment w:val="baseline"/>
              <w:rPr>
                <w:rFonts w:ascii="Times New Roman" w:hAnsi="Times New Roman" w:eastAsia="宋体" w:cs="Times New Roman"/>
                <w:b/>
                <w:kern w:val="24"/>
                <w:szCs w:val="21"/>
              </w:rPr>
            </w:pPr>
            <w:r>
              <w:rPr>
                <w:rFonts w:hint="eastAsia" w:ascii="Times New Roman" w:hAnsi="Times New Roman" w:eastAsia="宋体" w:cs="Times New Roman"/>
                <w:b/>
                <w:kern w:val="24"/>
                <w:szCs w:val="21"/>
              </w:rPr>
              <w:t>工艺流程简介：</w:t>
            </w:r>
          </w:p>
          <w:p>
            <w:pPr>
              <w:widowControl/>
              <w:adjustRightInd w:val="0"/>
              <w:snapToGrid w:val="0"/>
              <w:spacing w:line="360" w:lineRule="auto"/>
              <w:ind w:firstLine="420"/>
              <w:jc w:val="left"/>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循环水先经过隔油池，经处理后进入絮凝沉淀系统，循环水抽送到絮凝沉淀器，絮凝沉淀器内设液位控制器，达到指定液位后，进水泵停止工作，同时启动PAC加药泵和沉淀器内的搅拌器，PAC完成加药后，PAM加药泵启动向沉淀器内投加PAM，并继续搅拌，经投加PAC/PAM后的污水进行絮凝反应，泥水分离，完成PAM投加量后，加药泵停止工作，沉淀器静置30分钟后开始从底部排出沉淀的污泥，同时从泥水分界线上部位置排出沉淀处理后的上清液，上清液进入清水池回用，以上过程自动控制。</w:t>
            </w:r>
          </w:p>
          <w:p>
            <w:pPr>
              <w:widowControl/>
              <w:adjustRightInd w:val="0"/>
              <w:snapToGrid w:val="0"/>
              <w:jc w:val="center"/>
              <w:textAlignment w:val="baseline"/>
              <w:rPr>
                <w:rFonts w:ascii="Times New Roman" w:hAnsi="Times New Roman" w:eastAsia="宋体" w:cs="Times New Roman"/>
                <w:b/>
                <w:kern w:val="24"/>
                <w:szCs w:val="21"/>
              </w:rPr>
            </w:pPr>
            <w:r>
              <w:rPr>
                <w:rFonts w:hint="eastAsia" w:ascii="Times New Roman" w:hAnsi="Times New Roman" w:eastAsia="宋体" w:cs="Times New Roman"/>
                <w:b/>
                <w:kern w:val="24"/>
                <w:szCs w:val="21"/>
              </w:rPr>
              <w:t>表19污水处理系统构筑物一览表</w:t>
            </w: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30"/>
              <w:gridCol w:w="2391"/>
              <w:gridCol w:w="1905"/>
              <w:gridCol w:w="20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pct"/>
                  <w:shd w:val="clear" w:color="auto" w:fill="auto"/>
                  <w:vAlign w:val="center"/>
                </w:tcPr>
                <w:p>
                  <w:pPr>
                    <w:adjustRightInd w:val="0"/>
                    <w:snapToGrid w:val="0"/>
                    <w:jc w:val="center"/>
                    <w:rPr>
                      <w:rFonts w:ascii="Times New Roman" w:hAnsi="Times New Roman" w:eastAsia="宋体" w:cs="Times New Roman"/>
                      <w:szCs w:val="24"/>
                    </w:rPr>
                  </w:pPr>
                  <w:r>
                    <w:rPr>
                      <w:rFonts w:hint="eastAsia" w:ascii="Times New Roman" w:hAnsi="Times New Roman" w:eastAsia="宋体" w:cs="Times New Roman"/>
                      <w:szCs w:val="24"/>
                    </w:rPr>
                    <w:t>名称</w:t>
                  </w:r>
                </w:p>
              </w:tc>
              <w:tc>
                <w:tcPr>
                  <w:tcW w:w="1408" w:type="pct"/>
                  <w:shd w:val="clear" w:color="auto" w:fill="auto"/>
                  <w:vAlign w:val="center"/>
                </w:tcPr>
                <w:p>
                  <w:pPr>
                    <w:adjustRightInd w:val="0"/>
                    <w:snapToGrid w:val="0"/>
                    <w:jc w:val="center"/>
                    <w:rPr>
                      <w:rFonts w:ascii="Times New Roman" w:hAnsi="Times New Roman" w:eastAsia="宋体" w:cs="Times New Roman"/>
                      <w:szCs w:val="24"/>
                    </w:rPr>
                  </w:pPr>
                  <w:r>
                    <w:rPr>
                      <w:rFonts w:hint="eastAsia" w:ascii="Times New Roman" w:hAnsi="Times New Roman" w:eastAsia="宋体" w:cs="Times New Roman"/>
                      <w:szCs w:val="24"/>
                    </w:rPr>
                    <w:t>尺寸m</w:t>
                  </w:r>
                </w:p>
              </w:tc>
              <w:tc>
                <w:tcPr>
                  <w:tcW w:w="1122" w:type="pct"/>
                  <w:shd w:val="clear" w:color="auto" w:fill="auto"/>
                  <w:vAlign w:val="center"/>
                </w:tcPr>
                <w:p>
                  <w:pPr>
                    <w:adjustRightInd w:val="0"/>
                    <w:snapToGrid w:val="0"/>
                    <w:jc w:val="center"/>
                    <w:rPr>
                      <w:rFonts w:ascii="Times New Roman" w:hAnsi="Times New Roman" w:eastAsia="宋体" w:cs="Times New Roman"/>
                      <w:szCs w:val="24"/>
                    </w:rPr>
                  </w:pPr>
                  <w:r>
                    <w:rPr>
                      <w:rFonts w:hint="eastAsia" w:ascii="Times New Roman" w:hAnsi="Times New Roman" w:eastAsia="宋体" w:cs="Times New Roman"/>
                      <w:szCs w:val="24"/>
                    </w:rPr>
                    <w:t>池体深度m</w:t>
                  </w:r>
                </w:p>
              </w:tc>
              <w:tc>
                <w:tcPr>
                  <w:tcW w:w="1215" w:type="pct"/>
                  <w:shd w:val="clear" w:color="auto" w:fill="auto"/>
                  <w:vAlign w:val="center"/>
                </w:tcPr>
                <w:p>
                  <w:pPr>
                    <w:adjustRightInd w:val="0"/>
                    <w:snapToGrid w:val="0"/>
                    <w:jc w:val="center"/>
                    <w:rPr>
                      <w:rFonts w:ascii="Times New Roman" w:hAnsi="Times New Roman" w:eastAsia="宋体" w:cs="Times New Roman"/>
                      <w:szCs w:val="24"/>
                    </w:rPr>
                  </w:pPr>
                  <w:r>
                    <w:rPr>
                      <w:rFonts w:hint="eastAsia" w:ascii="Times New Roman" w:hAnsi="Times New Roman" w:eastAsia="宋体" w:cs="Times New Roman"/>
                      <w:szCs w:val="24"/>
                    </w:rPr>
                    <w:t>池体容积m³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pct"/>
                  <w:shd w:val="clear" w:color="auto" w:fill="auto"/>
                  <w:vAlign w:val="center"/>
                </w:tcPr>
                <w:p>
                  <w:pPr>
                    <w:adjustRightInd w:val="0"/>
                    <w:snapToGrid w:val="0"/>
                    <w:jc w:val="center"/>
                    <w:rPr>
                      <w:rFonts w:ascii="Times New Roman" w:hAnsi="Times New Roman" w:eastAsia="宋体" w:cs="Times New Roman"/>
                      <w:szCs w:val="24"/>
                    </w:rPr>
                  </w:pPr>
                  <w:r>
                    <w:rPr>
                      <w:rFonts w:hint="eastAsia" w:ascii="Times New Roman" w:hAnsi="Times New Roman" w:eastAsia="宋体" w:cs="Times New Roman"/>
                      <w:szCs w:val="24"/>
                    </w:rPr>
                    <w:t>絮凝沉淀器</w:t>
                  </w:r>
                </w:p>
              </w:tc>
              <w:tc>
                <w:tcPr>
                  <w:tcW w:w="1408" w:type="pct"/>
                  <w:shd w:val="clear" w:color="auto" w:fill="auto"/>
                  <w:vAlign w:val="center"/>
                </w:tcPr>
                <w:p>
                  <w:pPr>
                    <w:adjustRightInd w:val="0"/>
                    <w:snapToGrid w:val="0"/>
                    <w:jc w:val="center"/>
                    <w:rPr>
                      <w:rFonts w:ascii="Times New Roman" w:hAnsi="Times New Roman" w:eastAsia="宋体" w:cs="Times New Roman"/>
                      <w:szCs w:val="24"/>
                    </w:rPr>
                  </w:pPr>
                  <w:r>
                    <w:rPr>
                      <w:rFonts w:hint="eastAsia" w:ascii="Times New Roman" w:hAnsi="Times New Roman" w:eastAsia="宋体" w:cs="Times New Roman"/>
                      <w:szCs w:val="24"/>
                    </w:rPr>
                    <w:t>/</w:t>
                  </w:r>
                </w:p>
              </w:tc>
              <w:tc>
                <w:tcPr>
                  <w:tcW w:w="1122" w:type="pct"/>
                  <w:shd w:val="clear" w:color="auto" w:fill="auto"/>
                  <w:vAlign w:val="center"/>
                </w:tcPr>
                <w:p>
                  <w:pPr>
                    <w:adjustRightInd w:val="0"/>
                    <w:snapToGrid w:val="0"/>
                    <w:jc w:val="center"/>
                    <w:rPr>
                      <w:rFonts w:ascii="Times New Roman" w:hAnsi="Times New Roman" w:eastAsia="宋体" w:cs="Times New Roman"/>
                      <w:szCs w:val="24"/>
                    </w:rPr>
                  </w:pPr>
                  <w:r>
                    <w:rPr>
                      <w:rFonts w:hint="eastAsia" w:ascii="Times New Roman" w:hAnsi="Times New Roman" w:eastAsia="宋体" w:cs="Times New Roman"/>
                      <w:szCs w:val="24"/>
                    </w:rPr>
                    <w:t>/</w:t>
                  </w:r>
                </w:p>
              </w:tc>
              <w:tc>
                <w:tcPr>
                  <w:tcW w:w="1215" w:type="pct"/>
                  <w:shd w:val="clear" w:color="auto" w:fill="auto"/>
                  <w:vAlign w:val="center"/>
                </w:tcPr>
                <w:p>
                  <w:pPr>
                    <w:adjustRightInd w:val="0"/>
                    <w:snapToGrid w:val="0"/>
                    <w:jc w:val="center"/>
                    <w:rPr>
                      <w:rFonts w:ascii="Times New Roman" w:hAnsi="Times New Roman" w:eastAsia="宋体" w:cs="Times New Roman"/>
                      <w:szCs w:val="24"/>
                    </w:rPr>
                  </w:pPr>
                  <w:r>
                    <w:rPr>
                      <w:rFonts w:hint="eastAsia" w:ascii="Times New Roman" w:hAnsi="Times New Roman" w:eastAsia="宋体" w:cs="Times New Roman"/>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pct"/>
                  <w:shd w:val="clear" w:color="auto" w:fill="auto"/>
                  <w:vAlign w:val="center"/>
                </w:tcPr>
                <w:p>
                  <w:pPr>
                    <w:adjustRightInd w:val="0"/>
                    <w:snapToGrid w:val="0"/>
                    <w:jc w:val="center"/>
                    <w:rPr>
                      <w:rFonts w:ascii="Times New Roman" w:hAnsi="Times New Roman" w:eastAsia="宋体" w:cs="Times New Roman"/>
                      <w:szCs w:val="24"/>
                    </w:rPr>
                  </w:pPr>
                  <w:r>
                    <w:rPr>
                      <w:rFonts w:ascii="Times New Roman" w:hAnsi="Times New Roman" w:eastAsia="宋体" w:cs="Times New Roman"/>
                      <w:szCs w:val="24"/>
                    </w:rPr>
                    <w:t>隔油集水池</w:t>
                  </w:r>
                </w:p>
              </w:tc>
              <w:tc>
                <w:tcPr>
                  <w:tcW w:w="1408" w:type="pct"/>
                  <w:shd w:val="clear" w:color="auto" w:fill="auto"/>
                  <w:vAlign w:val="center"/>
                </w:tcPr>
                <w:p>
                  <w:pPr>
                    <w:adjustRightInd w:val="0"/>
                    <w:snapToGrid w:val="0"/>
                    <w:jc w:val="center"/>
                    <w:rPr>
                      <w:rFonts w:ascii="Times New Roman" w:hAnsi="Times New Roman" w:eastAsia="宋体" w:cs="Times New Roman"/>
                      <w:szCs w:val="24"/>
                    </w:rPr>
                  </w:pPr>
                  <w:r>
                    <w:rPr>
                      <w:rFonts w:hint="eastAsia" w:ascii="Times New Roman" w:hAnsi="Times New Roman" w:eastAsia="宋体" w:cs="Times New Roman"/>
                      <w:szCs w:val="24"/>
                    </w:rPr>
                    <w:t>2.5×2.5</w:t>
                  </w:r>
                </w:p>
              </w:tc>
              <w:tc>
                <w:tcPr>
                  <w:tcW w:w="1122" w:type="pct"/>
                  <w:shd w:val="clear" w:color="auto" w:fill="auto"/>
                  <w:vAlign w:val="center"/>
                </w:tcPr>
                <w:p>
                  <w:pPr>
                    <w:adjustRightInd w:val="0"/>
                    <w:snapToGrid w:val="0"/>
                    <w:jc w:val="center"/>
                    <w:rPr>
                      <w:rFonts w:ascii="Times New Roman" w:hAnsi="Times New Roman" w:eastAsia="宋体" w:cs="Times New Roman"/>
                      <w:szCs w:val="24"/>
                    </w:rPr>
                  </w:pPr>
                  <w:r>
                    <w:rPr>
                      <w:rFonts w:hint="eastAsia" w:ascii="Times New Roman" w:hAnsi="Times New Roman" w:eastAsia="宋体" w:cs="Times New Roman"/>
                      <w:szCs w:val="24"/>
                    </w:rPr>
                    <w:t>2</w:t>
                  </w:r>
                </w:p>
              </w:tc>
              <w:tc>
                <w:tcPr>
                  <w:tcW w:w="1215" w:type="pct"/>
                  <w:shd w:val="clear" w:color="auto" w:fill="auto"/>
                  <w:vAlign w:val="center"/>
                </w:tcPr>
                <w:p>
                  <w:pPr>
                    <w:adjustRightInd w:val="0"/>
                    <w:snapToGrid w:val="0"/>
                    <w:jc w:val="center"/>
                    <w:rPr>
                      <w:rFonts w:ascii="Times New Roman" w:hAnsi="Times New Roman" w:eastAsia="宋体" w:cs="Times New Roman"/>
                      <w:szCs w:val="24"/>
                    </w:rPr>
                  </w:pPr>
                  <w:r>
                    <w:rPr>
                      <w:rFonts w:hint="eastAsia" w:ascii="Times New Roman" w:hAnsi="Times New Roman" w:eastAsia="宋体" w:cs="Times New Roman"/>
                      <w:szCs w:val="24"/>
                    </w:rPr>
                    <w:t>12.5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255" w:type="pct"/>
                  <w:shd w:val="clear" w:color="auto" w:fill="auto"/>
                  <w:vAlign w:val="center"/>
                </w:tcPr>
                <w:p>
                  <w:pPr>
                    <w:adjustRightInd w:val="0"/>
                    <w:snapToGrid w:val="0"/>
                    <w:jc w:val="center"/>
                    <w:rPr>
                      <w:rFonts w:ascii="Times New Roman" w:hAnsi="Times New Roman" w:eastAsia="宋体" w:cs="Times New Roman"/>
                      <w:szCs w:val="24"/>
                    </w:rPr>
                  </w:pPr>
                  <w:r>
                    <w:rPr>
                      <w:rFonts w:ascii="Times New Roman" w:hAnsi="Times New Roman" w:eastAsia="宋体" w:cs="Times New Roman"/>
                      <w:szCs w:val="24"/>
                    </w:rPr>
                    <w:t>污泥池</w:t>
                  </w:r>
                </w:p>
              </w:tc>
              <w:tc>
                <w:tcPr>
                  <w:tcW w:w="1408" w:type="pct"/>
                  <w:shd w:val="clear" w:color="auto" w:fill="auto"/>
                  <w:vAlign w:val="center"/>
                </w:tcPr>
                <w:p>
                  <w:pPr>
                    <w:adjustRightInd w:val="0"/>
                    <w:snapToGrid w:val="0"/>
                    <w:jc w:val="center"/>
                    <w:rPr>
                      <w:rFonts w:ascii="Times New Roman" w:hAnsi="Times New Roman" w:eastAsia="宋体" w:cs="Times New Roman"/>
                      <w:szCs w:val="24"/>
                    </w:rPr>
                  </w:pPr>
                  <w:r>
                    <w:rPr>
                      <w:rFonts w:hint="eastAsia" w:ascii="Times New Roman" w:hAnsi="Times New Roman" w:eastAsia="宋体" w:cs="Times New Roman"/>
                      <w:szCs w:val="24"/>
                    </w:rPr>
                    <w:t>2.5×2.5</w:t>
                  </w:r>
                </w:p>
              </w:tc>
              <w:tc>
                <w:tcPr>
                  <w:tcW w:w="1122" w:type="pct"/>
                  <w:shd w:val="clear" w:color="auto" w:fill="auto"/>
                  <w:vAlign w:val="center"/>
                </w:tcPr>
                <w:p>
                  <w:pPr>
                    <w:adjustRightInd w:val="0"/>
                    <w:snapToGrid w:val="0"/>
                    <w:jc w:val="center"/>
                    <w:rPr>
                      <w:rFonts w:ascii="Times New Roman" w:hAnsi="Times New Roman" w:eastAsia="宋体" w:cs="Times New Roman"/>
                      <w:szCs w:val="24"/>
                    </w:rPr>
                  </w:pPr>
                  <w:r>
                    <w:rPr>
                      <w:rFonts w:hint="eastAsia" w:ascii="Times New Roman" w:hAnsi="Times New Roman" w:eastAsia="宋体" w:cs="Times New Roman"/>
                      <w:szCs w:val="24"/>
                    </w:rPr>
                    <w:t>2</w:t>
                  </w:r>
                </w:p>
              </w:tc>
              <w:tc>
                <w:tcPr>
                  <w:tcW w:w="1215" w:type="pct"/>
                  <w:shd w:val="clear" w:color="auto" w:fill="auto"/>
                  <w:vAlign w:val="center"/>
                </w:tcPr>
                <w:p>
                  <w:pPr>
                    <w:adjustRightInd w:val="0"/>
                    <w:snapToGrid w:val="0"/>
                    <w:jc w:val="center"/>
                    <w:rPr>
                      <w:rFonts w:ascii="Times New Roman" w:hAnsi="Times New Roman" w:eastAsia="宋体" w:cs="Times New Roman"/>
                      <w:szCs w:val="24"/>
                    </w:rPr>
                  </w:pPr>
                  <w:r>
                    <w:rPr>
                      <w:rFonts w:hint="eastAsia" w:ascii="Times New Roman" w:hAnsi="Times New Roman" w:eastAsia="宋体" w:cs="Times New Roman"/>
                      <w:szCs w:val="24"/>
                    </w:rPr>
                    <w:t>12.5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pct"/>
                  <w:shd w:val="clear" w:color="auto" w:fill="auto"/>
                  <w:vAlign w:val="center"/>
                </w:tcPr>
                <w:p>
                  <w:pPr>
                    <w:adjustRightInd w:val="0"/>
                    <w:snapToGrid w:val="0"/>
                    <w:jc w:val="center"/>
                    <w:rPr>
                      <w:rFonts w:ascii="Times New Roman" w:hAnsi="Times New Roman" w:eastAsia="宋体" w:cs="Times New Roman"/>
                      <w:szCs w:val="24"/>
                    </w:rPr>
                  </w:pPr>
                  <w:r>
                    <w:rPr>
                      <w:rFonts w:ascii="Times New Roman" w:hAnsi="Times New Roman" w:eastAsia="宋体" w:cs="Times New Roman"/>
                      <w:szCs w:val="24"/>
                    </w:rPr>
                    <w:t>清水池</w:t>
                  </w:r>
                </w:p>
              </w:tc>
              <w:tc>
                <w:tcPr>
                  <w:tcW w:w="1408" w:type="pct"/>
                  <w:shd w:val="clear" w:color="auto" w:fill="auto"/>
                  <w:vAlign w:val="center"/>
                </w:tcPr>
                <w:p>
                  <w:pPr>
                    <w:adjustRightInd w:val="0"/>
                    <w:snapToGrid w:val="0"/>
                    <w:jc w:val="center"/>
                    <w:rPr>
                      <w:rFonts w:ascii="Times New Roman" w:hAnsi="Times New Roman" w:eastAsia="宋体" w:cs="Times New Roman"/>
                      <w:szCs w:val="24"/>
                    </w:rPr>
                  </w:pPr>
                  <w:r>
                    <w:rPr>
                      <w:rFonts w:hint="eastAsia" w:ascii="Times New Roman" w:hAnsi="Times New Roman" w:eastAsia="宋体" w:cs="Times New Roman"/>
                      <w:szCs w:val="24"/>
                    </w:rPr>
                    <w:t>2.5×2.5</w:t>
                  </w:r>
                </w:p>
              </w:tc>
              <w:tc>
                <w:tcPr>
                  <w:tcW w:w="1122" w:type="pct"/>
                  <w:shd w:val="clear" w:color="auto" w:fill="auto"/>
                  <w:vAlign w:val="center"/>
                </w:tcPr>
                <w:p>
                  <w:pPr>
                    <w:adjustRightInd w:val="0"/>
                    <w:snapToGrid w:val="0"/>
                    <w:jc w:val="center"/>
                    <w:rPr>
                      <w:rFonts w:ascii="Times New Roman" w:hAnsi="Times New Roman" w:eastAsia="宋体" w:cs="Times New Roman"/>
                      <w:szCs w:val="24"/>
                    </w:rPr>
                  </w:pPr>
                  <w:r>
                    <w:rPr>
                      <w:rFonts w:hint="eastAsia" w:ascii="Times New Roman" w:hAnsi="Times New Roman" w:eastAsia="宋体" w:cs="Times New Roman"/>
                      <w:szCs w:val="24"/>
                    </w:rPr>
                    <w:t>2</w:t>
                  </w:r>
                </w:p>
              </w:tc>
              <w:tc>
                <w:tcPr>
                  <w:tcW w:w="1215" w:type="pct"/>
                  <w:shd w:val="clear" w:color="auto" w:fill="auto"/>
                  <w:vAlign w:val="center"/>
                </w:tcPr>
                <w:p>
                  <w:pPr>
                    <w:adjustRightInd w:val="0"/>
                    <w:snapToGrid w:val="0"/>
                    <w:jc w:val="center"/>
                    <w:rPr>
                      <w:rFonts w:ascii="Times New Roman" w:hAnsi="Times New Roman" w:eastAsia="宋体" w:cs="Times New Roman"/>
                      <w:szCs w:val="24"/>
                    </w:rPr>
                  </w:pPr>
                  <w:r>
                    <w:rPr>
                      <w:rFonts w:hint="eastAsia" w:ascii="Times New Roman" w:hAnsi="Times New Roman" w:eastAsia="宋体" w:cs="Times New Roman"/>
                      <w:szCs w:val="24"/>
                    </w:rPr>
                    <w:t>12.5</w:t>
                  </w:r>
                </w:p>
              </w:tc>
            </w:tr>
          </w:tbl>
          <w:p>
            <w:pPr>
              <w:widowControl/>
              <w:adjustRightInd w:val="0"/>
              <w:snapToGrid w:val="0"/>
              <w:spacing w:line="360" w:lineRule="auto"/>
              <w:ind w:firstLine="420"/>
              <w:jc w:val="left"/>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3）污染物产生、排放及可行性分析</w:t>
            </w:r>
          </w:p>
          <w:p>
            <w:pPr>
              <w:widowControl/>
              <w:spacing w:before="120" w:beforeLines="50"/>
              <w:jc w:val="center"/>
              <w:textAlignment w:val="baseline"/>
              <w:rPr>
                <w:rFonts w:ascii="Times New Roman" w:hAnsi="Times New Roman" w:eastAsia="宋体" w:cs="Times New Roman"/>
                <w:b/>
                <w:kern w:val="24"/>
                <w:szCs w:val="21"/>
              </w:rPr>
            </w:pPr>
            <w:r>
              <w:rPr>
                <w:rFonts w:hint="eastAsia" w:ascii="Times New Roman" w:hAnsi="Times New Roman" w:eastAsia="宋体" w:cs="Times New Roman"/>
                <w:b/>
                <w:kern w:val="24"/>
                <w:szCs w:val="21"/>
              </w:rPr>
              <w:t>表20废水污染物产生、排放一览表</w:t>
            </w:r>
          </w:p>
          <w:tbl>
            <w:tblPr>
              <w:tblStyle w:val="18"/>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713"/>
              <w:gridCol w:w="1423"/>
              <w:gridCol w:w="902"/>
              <w:gridCol w:w="925"/>
              <w:gridCol w:w="756"/>
              <w:gridCol w:w="740"/>
              <w:gridCol w:w="1145"/>
              <w:gridCol w:w="740"/>
              <w:gridCol w:w="11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1" w:hRule="atLeast"/>
              </w:trPr>
              <w:tc>
                <w:tcPr>
                  <w:tcW w:w="0" w:type="auto"/>
                  <w:gridSpan w:val="2"/>
                  <w:vMerge w:val="restart"/>
                  <w:tcBorders>
                    <w:top w:val="single" w:color="auto" w:sz="4" w:space="0"/>
                    <w:left w:val="single" w:color="auto" w:sz="4" w:space="0"/>
                    <w:right w:val="single" w:color="auto" w:sz="4" w:space="0"/>
                  </w:tcBorders>
                  <w:vAlign w:val="center"/>
                </w:tcPr>
                <w:p>
                  <w:pPr>
                    <w:jc w:val="center"/>
                    <w:rPr>
                      <w:rFonts w:ascii="Times New Roman" w:hAnsi="Times New Roman" w:eastAsia="宋体" w:cs="Times New Roman"/>
                      <w:sz w:val="18"/>
                      <w:szCs w:val="18"/>
                    </w:rPr>
                  </w:pPr>
                  <w:r>
                    <w:rPr>
                      <w:rFonts w:ascii="Times New Roman" w:hAnsi="宋体" w:eastAsia="宋体" w:cs="Times New Roman"/>
                      <w:sz w:val="18"/>
                      <w:szCs w:val="18"/>
                    </w:rPr>
                    <w:t>污染源</w:t>
                  </w:r>
                </w:p>
              </w:tc>
              <w:tc>
                <w:tcPr>
                  <w:tcW w:w="0" w:type="auto"/>
                  <w:vMerge w:val="restart"/>
                  <w:tcBorders>
                    <w:top w:val="single" w:color="auto" w:sz="4" w:space="0"/>
                    <w:left w:val="single" w:color="auto" w:sz="4" w:space="0"/>
                    <w:right w:val="single" w:color="auto" w:sz="4" w:space="0"/>
                  </w:tcBorders>
                  <w:vAlign w:val="center"/>
                </w:tcPr>
                <w:p>
                  <w:pPr>
                    <w:jc w:val="center"/>
                    <w:rPr>
                      <w:rFonts w:ascii="Times New Roman" w:hAnsi="宋体" w:eastAsia="宋体" w:cs="Times New Roman"/>
                      <w:sz w:val="18"/>
                      <w:szCs w:val="18"/>
                    </w:rPr>
                  </w:pPr>
                  <w:r>
                    <w:rPr>
                      <w:rFonts w:ascii="Times New Roman" w:hAnsi="宋体" w:eastAsia="宋体" w:cs="Times New Roman"/>
                      <w:sz w:val="18"/>
                      <w:szCs w:val="18"/>
                    </w:rPr>
                    <w:t>污染物种类</w:t>
                  </w:r>
                </w:p>
              </w:tc>
              <w:tc>
                <w:tcPr>
                  <w:tcW w:w="0" w:type="auto"/>
                  <w:vMerge w:val="restart"/>
                  <w:tcBorders>
                    <w:top w:val="single" w:color="auto" w:sz="4" w:space="0"/>
                    <w:left w:val="single" w:color="auto" w:sz="4" w:space="0"/>
                    <w:right w:val="single" w:color="auto" w:sz="4" w:space="0"/>
                  </w:tcBorders>
                  <w:vAlign w:val="center"/>
                </w:tcPr>
                <w:p>
                  <w:pPr>
                    <w:jc w:val="center"/>
                    <w:rPr>
                      <w:rFonts w:ascii="Times New Roman" w:hAnsi="Times New Roman" w:eastAsia="宋体" w:cs="Times New Roman"/>
                      <w:sz w:val="18"/>
                      <w:szCs w:val="18"/>
                    </w:rPr>
                  </w:pPr>
                  <w:r>
                    <w:rPr>
                      <w:rFonts w:ascii="Times New Roman" w:hAnsi="宋体" w:eastAsia="宋体" w:cs="Times New Roman"/>
                      <w:sz w:val="18"/>
                      <w:szCs w:val="18"/>
                    </w:rPr>
                    <w:t>废水排放去向</w:t>
                  </w:r>
                </w:p>
              </w:tc>
              <w:tc>
                <w:tcPr>
                  <w:tcW w:w="0" w:type="auto"/>
                  <w:vMerge w:val="restart"/>
                  <w:tcBorders>
                    <w:top w:val="single" w:color="auto" w:sz="4" w:space="0"/>
                    <w:left w:val="single" w:color="auto" w:sz="4" w:space="0"/>
                    <w:right w:val="single" w:color="auto" w:sz="4" w:space="0"/>
                  </w:tcBorders>
                  <w:vAlign w:val="center"/>
                </w:tcPr>
                <w:p>
                  <w:pPr>
                    <w:jc w:val="center"/>
                    <w:rPr>
                      <w:rFonts w:ascii="Times New Roman" w:hAnsi="宋体" w:eastAsia="宋体" w:cs="Times New Roman"/>
                      <w:sz w:val="18"/>
                      <w:szCs w:val="18"/>
                    </w:rPr>
                  </w:pPr>
                  <w:r>
                    <w:rPr>
                      <w:rFonts w:ascii="Times New Roman" w:hAnsi="宋体" w:eastAsia="宋体" w:cs="Times New Roman"/>
                      <w:sz w:val="18"/>
                      <w:szCs w:val="18"/>
                    </w:rPr>
                    <w:t>废水量</w:t>
                  </w:r>
                </w:p>
              </w:tc>
              <w:tc>
                <w:tcPr>
                  <w:tcW w:w="0" w:type="auto"/>
                  <w:vMerge w:val="restart"/>
                  <w:tcBorders>
                    <w:top w:val="single" w:color="auto" w:sz="4" w:space="0"/>
                    <w:left w:val="single" w:color="auto" w:sz="4" w:space="0"/>
                    <w:right w:val="single" w:color="auto" w:sz="4" w:space="0"/>
                  </w:tcBorders>
                  <w:vAlign w:val="center"/>
                </w:tcPr>
                <w:p>
                  <w:pPr>
                    <w:jc w:val="center"/>
                    <w:rPr>
                      <w:rFonts w:ascii="Times New Roman" w:hAnsi="宋体" w:eastAsia="宋体" w:cs="Times New Roman"/>
                      <w:sz w:val="18"/>
                      <w:szCs w:val="18"/>
                    </w:rPr>
                  </w:pPr>
                  <w:r>
                    <w:rPr>
                      <w:rFonts w:ascii="Times New Roman" w:hAnsi="宋体" w:eastAsia="宋体" w:cs="Times New Roman"/>
                      <w:sz w:val="18"/>
                      <w:szCs w:val="18"/>
                    </w:rPr>
                    <w:t>产生量</w:t>
                  </w:r>
                  <w:r>
                    <w:rPr>
                      <w:rFonts w:ascii="Times New Roman" w:hAnsi="Times New Roman" w:eastAsia="宋体" w:cs="Times New Roman"/>
                      <w:sz w:val="18"/>
                      <w:szCs w:val="18"/>
                    </w:rPr>
                    <w:t>t/a</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ascii="Times New Roman" w:hAnsi="宋体" w:eastAsia="宋体" w:cs="Times New Roman"/>
                      <w:sz w:val="18"/>
                      <w:szCs w:val="18"/>
                    </w:rPr>
                  </w:pPr>
                  <w:r>
                    <w:rPr>
                      <w:rFonts w:hint="eastAsia" w:ascii="Times New Roman" w:hAnsi="宋体" w:eastAsia="宋体" w:cs="Times New Roman"/>
                      <w:sz w:val="18"/>
                      <w:szCs w:val="18"/>
                    </w:rPr>
                    <w:t>产生浓度</w:t>
                  </w:r>
                  <w:r>
                    <w:rPr>
                      <w:rFonts w:ascii="Times New Roman" w:hAnsi="Times New Roman" w:eastAsia="宋体" w:cs="Times New Roman"/>
                      <w:sz w:val="18"/>
                      <w:szCs w:val="18"/>
                    </w:rPr>
                    <w:t>mg/m</w:t>
                  </w:r>
                  <w:r>
                    <w:rPr>
                      <w:rFonts w:ascii="Times New Roman" w:hAnsi="Times New Roman" w:eastAsia="宋体" w:cs="Times New Roman"/>
                      <w:sz w:val="18"/>
                      <w:szCs w:val="18"/>
                      <w:vertAlign w:val="superscript"/>
                    </w:rPr>
                    <w:t>3</w:t>
                  </w:r>
                </w:p>
              </w:tc>
              <w:tc>
                <w:tcPr>
                  <w:tcW w:w="0" w:type="auto"/>
                  <w:vMerge w:val="restart"/>
                  <w:tcBorders>
                    <w:top w:val="single" w:color="auto" w:sz="4" w:space="0"/>
                    <w:left w:val="single" w:color="auto" w:sz="4" w:space="0"/>
                    <w:right w:val="single" w:color="auto" w:sz="4" w:space="0"/>
                  </w:tcBorders>
                  <w:vAlign w:val="center"/>
                </w:tcPr>
                <w:p>
                  <w:pPr>
                    <w:jc w:val="center"/>
                    <w:rPr>
                      <w:rFonts w:ascii="Times New Roman" w:hAnsi="宋体" w:eastAsia="宋体" w:cs="Times New Roman"/>
                      <w:sz w:val="18"/>
                      <w:szCs w:val="18"/>
                    </w:rPr>
                  </w:pPr>
                  <w:r>
                    <w:rPr>
                      <w:rFonts w:ascii="Times New Roman" w:hAnsi="宋体" w:eastAsia="宋体" w:cs="Times New Roman"/>
                      <w:sz w:val="18"/>
                      <w:szCs w:val="18"/>
                    </w:rPr>
                    <w:t>排放量</w:t>
                  </w:r>
                  <w:r>
                    <w:rPr>
                      <w:rFonts w:ascii="Times New Roman" w:hAnsi="Times New Roman" w:eastAsia="宋体" w:cs="Times New Roman"/>
                      <w:sz w:val="18"/>
                      <w:szCs w:val="18"/>
                    </w:rPr>
                    <w:t>t/a</w:t>
                  </w:r>
                </w:p>
              </w:tc>
              <w:tc>
                <w:tcPr>
                  <w:tcW w:w="0" w:type="auto"/>
                  <w:vMerge w:val="restart"/>
                  <w:tcBorders>
                    <w:top w:val="single" w:color="auto" w:sz="4" w:space="0"/>
                    <w:left w:val="single" w:color="auto" w:sz="4" w:space="0"/>
                    <w:right w:val="single" w:color="auto" w:sz="4" w:space="0"/>
                  </w:tcBorders>
                  <w:vAlign w:val="center"/>
                </w:tcPr>
                <w:p>
                  <w:pPr>
                    <w:jc w:val="center"/>
                    <w:rPr>
                      <w:rFonts w:ascii="Times New Roman" w:hAnsi="Times New Roman" w:eastAsia="宋体" w:cs="Times New Roman"/>
                      <w:sz w:val="18"/>
                      <w:szCs w:val="18"/>
                    </w:rPr>
                  </w:pPr>
                  <w:r>
                    <w:rPr>
                      <w:rFonts w:ascii="Times New Roman" w:hAnsi="宋体" w:eastAsia="宋体" w:cs="Times New Roman"/>
                      <w:sz w:val="18"/>
                      <w:szCs w:val="18"/>
                    </w:rPr>
                    <w:t>排放浓度</w:t>
                  </w:r>
                  <w:r>
                    <w:rPr>
                      <w:rFonts w:ascii="Times New Roman" w:hAnsi="Times New Roman" w:eastAsia="宋体" w:cs="Times New Roman"/>
                      <w:sz w:val="18"/>
                      <w:szCs w:val="18"/>
                    </w:rPr>
                    <w:t>mg/m</w:t>
                  </w:r>
                  <w:r>
                    <w:rPr>
                      <w:rFonts w:ascii="Times New Roman" w:hAnsi="Times New Roman" w:eastAsia="宋体" w:cs="Times New Roman"/>
                      <w:sz w:val="18"/>
                      <w:szCs w:val="18"/>
                      <w:vertAlign w:val="superscript"/>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52" w:hRule="atLeast"/>
              </w:trPr>
              <w:tc>
                <w:tcPr>
                  <w:tcW w:w="0" w:type="auto"/>
                  <w:gridSpan w:val="2"/>
                  <w:vMerge w:val="continue"/>
                  <w:tcBorders>
                    <w:left w:val="single" w:color="auto" w:sz="4" w:space="0"/>
                    <w:right w:val="single" w:color="auto" w:sz="4" w:space="0"/>
                  </w:tcBorders>
                  <w:vAlign w:val="center"/>
                </w:tcPr>
                <w:p>
                  <w:pPr>
                    <w:jc w:val="center"/>
                    <w:rPr>
                      <w:rFonts w:ascii="Times New Roman" w:hAnsi="宋体" w:eastAsia="宋体" w:cs="Times New Roman"/>
                      <w:sz w:val="18"/>
                      <w:szCs w:val="18"/>
                    </w:rPr>
                  </w:pPr>
                </w:p>
              </w:tc>
              <w:tc>
                <w:tcPr>
                  <w:tcW w:w="0" w:type="auto"/>
                  <w:vMerge w:val="continue"/>
                  <w:tcBorders>
                    <w:left w:val="single" w:color="auto" w:sz="4" w:space="0"/>
                    <w:right w:val="single" w:color="auto" w:sz="4" w:space="0"/>
                  </w:tcBorders>
                  <w:vAlign w:val="center"/>
                </w:tcPr>
                <w:p>
                  <w:pPr>
                    <w:jc w:val="center"/>
                    <w:rPr>
                      <w:rFonts w:ascii="Times New Roman" w:hAnsi="宋体" w:eastAsia="宋体" w:cs="Times New Roman"/>
                      <w:sz w:val="18"/>
                      <w:szCs w:val="18"/>
                    </w:rPr>
                  </w:pPr>
                </w:p>
              </w:tc>
              <w:tc>
                <w:tcPr>
                  <w:tcW w:w="0" w:type="auto"/>
                  <w:vMerge w:val="continue"/>
                  <w:tcBorders>
                    <w:left w:val="single" w:color="auto" w:sz="4" w:space="0"/>
                    <w:right w:val="single" w:color="auto" w:sz="4" w:space="0"/>
                  </w:tcBorders>
                  <w:vAlign w:val="center"/>
                </w:tcPr>
                <w:p>
                  <w:pPr>
                    <w:jc w:val="center"/>
                    <w:rPr>
                      <w:rFonts w:ascii="Times New Roman" w:hAnsi="宋体" w:eastAsia="宋体" w:cs="Times New Roman"/>
                      <w:sz w:val="18"/>
                      <w:szCs w:val="18"/>
                    </w:rPr>
                  </w:pPr>
                </w:p>
              </w:tc>
              <w:tc>
                <w:tcPr>
                  <w:tcW w:w="0" w:type="auto"/>
                  <w:vMerge w:val="continue"/>
                  <w:tcBorders>
                    <w:left w:val="single" w:color="auto" w:sz="4" w:space="0"/>
                    <w:right w:val="single" w:color="auto" w:sz="4" w:space="0"/>
                  </w:tcBorders>
                  <w:vAlign w:val="center"/>
                </w:tcPr>
                <w:p>
                  <w:pPr>
                    <w:jc w:val="center"/>
                    <w:rPr>
                      <w:rFonts w:ascii="Times New Roman" w:hAnsi="宋体" w:eastAsia="宋体" w:cs="Times New Roman"/>
                      <w:sz w:val="18"/>
                      <w:szCs w:val="18"/>
                    </w:rPr>
                  </w:pPr>
                </w:p>
              </w:tc>
              <w:tc>
                <w:tcPr>
                  <w:tcW w:w="0" w:type="auto"/>
                  <w:vMerge w:val="continue"/>
                  <w:tcBorders>
                    <w:left w:val="single" w:color="auto" w:sz="4" w:space="0"/>
                    <w:right w:val="single" w:color="auto" w:sz="4" w:space="0"/>
                  </w:tcBorders>
                  <w:vAlign w:val="center"/>
                </w:tcPr>
                <w:p>
                  <w:pPr>
                    <w:jc w:val="center"/>
                    <w:rPr>
                      <w:rFonts w:ascii="Times New Roman" w:hAnsi="宋体" w:eastAsia="宋体" w:cs="Times New Roman"/>
                      <w:sz w:val="18"/>
                      <w:szCs w:val="18"/>
                    </w:rPr>
                  </w:pPr>
                </w:p>
              </w:tc>
              <w:tc>
                <w:tcPr>
                  <w:tcW w:w="0" w:type="auto"/>
                  <w:tcBorders>
                    <w:top w:val="single" w:color="auto" w:sz="4" w:space="0"/>
                    <w:left w:val="single" w:color="auto" w:sz="4" w:space="0"/>
                    <w:right w:val="single" w:color="auto" w:sz="4" w:space="0"/>
                  </w:tcBorders>
                  <w:vAlign w:val="center"/>
                </w:tcPr>
                <w:p>
                  <w:pPr>
                    <w:jc w:val="center"/>
                    <w:rPr>
                      <w:rFonts w:ascii="Times New Roman" w:hAnsi="宋体" w:eastAsia="宋体" w:cs="Times New Roman"/>
                      <w:sz w:val="18"/>
                      <w:szCs w:val="18"/>
                    </w:rPr>
                  </w:pPr>
                </w:p>
              </w:tc>
              <w:tc>
                <w:tcPr>
                  <w:tcW w:w="0" w:type="auto"/>
                  <w:vMerge w:val="continue"/>
                  <w:tcBorders>
                    <w:left w:val="single" w:color="auto" w:sz="4" w:space="0"/>
                    <w:right w:val="single" w:color="auto" w:sz="4" w:space="0"/>
                  </w:tcBorders>
                  <w:vAlign w:val="center"/>
                </w:tcPr>
                <w:p>
                  <w:pPr>
                    <w:jc w:val="center"/>
                    <w:rPr>
                      <w:rFonts w:ascii="Times New Roman" w:hAnsi="宋体" w:eastAsia="宋体" w:cs="Times New Roman"/>
                      <w:sz w:val="18"/>
                      <w:szCs w:val="18"/>
                    </w:rPr>
                  </w:pPr>
                </w:p>
              </w:tc>
              <w:tc>
                <w:tcPr>
                  <w:tcW w:w="0" w:type="auto"/>
                  <w:vMerge w:val="continue"/>
                  <w:tcBorders>
                    <w:left w:val="single" w:color="auto" w:sz="4" w:space="0"/>
                    <w:right w:val="single" w:color="auto" w:sz="4" w:space="0"/>
                  </w:tcBorders>
                  <w:vAlign w:val="center"/>
                </w:tcPr>
                <w:p>
                  <w:pPr>
                    <w:jc w:val="center"/>
                    <w:rPr>
                      <w:rFonts w:ascii="Times New Roman" w:hAnsi="宋体" w:eastAsia="宋体"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2" w:hRule="atLeast"/>
              </w:trPr>
              <w:tc>
                <w:tcPr>
                  <w:tcW w:w="0" w:type="auto"/>
                  <w:vMerge w:val="restart"/>
                  <w:tcBorders>
                    <w:top w:val="single" w:color="auto" w:sz="4" w:space="0"/>
                    <w:left w:val="single" w:color="auto" w:sz="4" w:space="0"/>
                    <w:right w:val="single" w:color="auto" w:sz="4" w:space="0"/>
                  </w:tcBorders>
                  <w:vAlign w:val="center"/>
                </w:tcPr>
                <w:p>
                  <w:pPr>
                    <w:jc w:val="center"/>
                    <w:rPr>
                      <w:rFonts w:ascii="Times New Roman" w:hAnsi="Times New Roman" w:eastAsia="宋体" w:cs="Times New Roman"/>
                      <w:sz w:val="18"/>
                      <w:szCs w:val="18"/>
                    </w:rPr>
                  </w:pPr>
                  <w:r>
                    <w:rPr>
                      <w:rFonts w:ascii="Times New Roman" w:hAnsi="Times New Roman" w:eastAsia="宋体" w:cs="Times New Roman"/>
                      <w:sz w:val="18"/>
                      <w:szCs w:val="18"/>
                    </w:rPr>
                    <w:t>生产废水</w:t>
                  </w:r>
                </w:p>
              </w:tc>
              <w:tc>
                <w:tcPr>
                  <w:tcW w:w="0" w:type="auto"/>
                  <w:vMerge w:val="restart"/>
                  <w:tcBorders>
                    <w:top w:val="single" w:color="auto" w:sz="4" w:space="0"/>
                    <w:left w:val="single" w:color="auto" w:sz="4" w:space="0"/>
                    <w:right w:val="single" w:color="auto" w:sz="4" w:space="0"/>
                  </w:tcBorders>
                  <w:vAlign w:val="center"/>
                </w:tcPr>
                <w:p>
                  <w:pPr>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破碎、甩干及筛分废水</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COD</w:t>
                  </w:r>
                </w:p>
              </w:tc>
              <w:tc>
                <w:tcPr>
                  <w:tcW w:w="0" w:type="auto"/>
                  <w:vMerge w:val="restart"/>
                  <w:tcBorders>
                    <w:top w:val="single" w:color="auto" w:sz="4" w:space="0"/>
                    <w:left w:val="single" w:color="auto" w:sz="4" w:space="0"/>
                    <w:right w:val="single" w:color="auto" w:sz="4" w:space="0"/>
                  </w:tcBorders>
                  <w:vAlign w:val="center"/>
                </w:tcPr>
                <w:p>
                  <w:pPr>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不外排</w:t>
                  </w:r>
                </w:p>
              </w:tc>
              <w:tc>
                <w:tcPr>
                  <w:tcW w:w="0" w:type="auto"/>
                  <w:vMerge w:val="restart"/>
                  <w:tcBorders>
                    <w:top w:val="single" w:color="auto" w:sz="4" w:space="0"/>
                    <w:left w:val="single" w:color="auto" w:sz="4" w:space="0"/>
                    <w:right w:val="single" w:color="auto" w:sz="4" w:space="0"/>
                  </w:tcBorders>
                  <w:vAlign w:val="center"/>
                </w:tcPr>
                <w:p>
                  <w:pPr>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2470t/a</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0</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9" w:hRule="atLeast"/>
              </w:trPr>
              <w:tc>
                <w:tcPr>
                  <w:tcW w:w="0" w:type="auto"/>
                  <w:vMerge w:val="continue"/>
                  <w:tcBorders>
                    <w:left w:val="single" w:color="auto" w:sz="4" w:space="0"/>
                    <w:right w:val="single" w:color="auto" w:sz="4" w:space="0"/>
                  </w:tcBorders>
                  <w:vAlign w:val="center"/>
                </w:tcPr>
                <w:p>
                  <w:pPr>
                    <w:jc w:val="center"/>
                    <w:rPr>
                      <w:rFonts w:ascii="Times New Roman" w:hAnsi="Times New Roman" w:eastAsia="宋体" w:cs="Times New Roman"/>
                      <w:sz w:val="18"/>
                      <w:szCs w:val="18"/>
                    </w:rPr>
                  </w:pPr>
                </w:p>
              </w:tc>
              <w:tc>
                <w:tcPr>
                  <w:tcW w:w="0" w:type="auto"/>
                  <w:vMerge w:val="continue"/>
                  <w:tcBorders>
                    <w:left w:val="single" w:color="auto" w:sz="4" w:space="0"/>
                    <w:right w:val="single" w:color="auto" w:sz="4" w:space="0"/>
                  </w:tcBorders>
                  <w:vAlign w:val="center"/>
                </w:tcPr>
                <w:p>
                  <w:pPr>
                    <w:jc w:val="center"/>
                    <w:rPr>
                      <w:rFonts w:ascii="Times New Roman" w:hAnsi="Times New Roman" w:eastAsia="宋体" w:cs="Times New Roman"/>
                      <w:sz w:val="18"/>
                      <w:szCs w:val="18"/>
                    </w:rPr>
                  </w:pP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sz w:val="18"/>
                      <w:szCs w:val="18"/>
                    </w:rPr>
                  </w:pPr>
                  <w:r>
                    <w:rPr>
                      <w:rFonts w:ascii="Times New Roman" w:hAnsi="Times New Roman" w:eastAsia="宋体" w:cs="Times New Roman"/>
                      <w:sz w:val="18"/>
                      <w:szCs w:val="18"/>
                    </w:rPr>
                    <w:t>氨氮</w:t>
                  </w:r>
                </w:p>
              </w:tc>
              <w:tc>
                <w:tcPr>
                  <w:tcW w:w="0" w:type="auto"/>
                  <w:vMerge w:val="continue"/>
                  <w:tcBorders>
                    <w:left w:val="single" w:color="auto" w:sz="4" w:space="0"/>
                    <w:right w:val="single" w:color="auto" w:sz="4" w:space="0"/>
                  </w:tcBorders>
                  <w:vAlign w:val="center"/>
                </w:tcPr>
                <w:p>
                  <w:pPr>
                    <w:jc w:val="center"/>
                    <w:rPr>
                      <w:rFonts w:ascii="Times New Roman" w:hAnsi="Times New Roman" w:eastAsia="宋体" w:cs="Times New Roman"/>
                      <w:sz w:val="18"/>
                      <w:szCs w:val="18"/>
                    </w:rPr>
                  </w:pPr>
                </w:p>
              </w:tc>
              <w:tc>
                <w:tcPr>
                  <w:tcW w:w="0" w:type="auto"/>
                  <w:vMerge w:val="continue"/>
                  <w:tcBorders>
                    <w:left w:val="single" w:color="auto" w:sz="4" w:space="0"/>
                    <w:right w:val="single" w:color="auto" w:sz="4" w:space="0"/>
                  </w:tcBorders>
                  <w:vAlign w:val="center"/>
                </w:tcPr>
                <w:p>
                  <w:pPr>
                    <w:jc w:val="center"/>
                    <w:rPr>
                      <w:rFonts w:ascii="Times New Roman" w:hAnsi="Times New Roman" w:eastAsia="宋体" w:cs="Times New Roman"/>
                      <w:sz w:val="18"/>
                      <w:szCs w:val="18"/>
                    </w:rPr>
                  </w:pP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0</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9" w:hRule="atLeast"/>
              </w:trPr>
              <w:tc>
                <w:tcPr>
                  <w:tcW w:w="0" w:type="auto"/>
                  <w:vMerge w:val="continue"/>
                  <w:tcBorders>
                    <w:left w:val="single" w:color="auto" w:sz="4" w:space="0"/>
                    <w:right w:val="single" w:color="auto" w:sz="4" w:space="0"/>
                  </w:tcBorders>
                  <w:vAlign w:val="center"/>
                </w:tcPr>
                <w:p>
                  <w:pPr>
                    <w:jc w:val="center"/>
                    <w:rPr>
                      <w:rFonts w:ascii="Times New Roman" w:hAnsi="Times New Roman" w:eastAsia="宋体" w:cs="Times New Roman"/>
                      <w:sz w:val="18"/>
                      <w:szCs w:val="18"/>
                    </w:rPr>
                  </w:pPr>
                </w:p>
              </w:tc>
              <w:tc>
                <w:tcPr>
                  <w:tcW w:w="0" w:type="auto"/>
                  <w:vMerge w:val="continue"/>
                  <w:tcBorders>
                    <w:left w:val="single" w:color="auto" w:sz="4" w:space="0"/>
                    <w:right w:val="single" w:color="auto" w:sz="4" w:space="0"/>
                  </w:tcBorders>
                  <w:vAlign w:val="center"/>
                </w:tcPr>
                <w:p>
                  <w:pPr>
                    <w:jc w:val="center"/>
                    <w:rPr>
                      <w:rFonts w:ascii="Times New Roman" w:hAnsi="Times New Roman" w:eastAsia="宋体" w:cs="Times New Roman"/>
                      <w:sz w:val="18"/>
                      <w:szCs w:val="18"/>
                    </w:rPr>
                  </w:pP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SS</w:t>
                  </w:r>
                </w:p>
              </w:tc>
              <w:tc>
                <w:tcPr>
                  <w:tcW w:w="0" w:type="auto"/>
                  <w:vMerge w:val="continue"/>
                  <w:tcBorders>
                    <w:left w:val="single" w:color="auto" w:sz="4" w:space="0"/>
                    <w:right w:val="single" w:color="auto" w:sz="4" w:space="0"/>
                  </w:tcBorders>
                  <w:vAlign w:val="center"/>
                </w:tcPr>
                <w:p>
                  <w:pPr>
                    <w:jc w:val="center"/>
                    <w:rPr>
                      <w:rFonts w:ascii="Times New Roman" w:hAnsi="Times New Roman" w:eastAsia="宋体" w:cs="Times New Roman"/>
                      <w:sz w:val="18"/>
                      <w:szCs w:val="18"/>
                    </w:rPr>
                  </w:pPr>
                </w:p>
              </w:tc>
              <w:tc>
                <w:tcPr>
                  <w:tcW w:w="0" w:type="auto"/>
                  <w:vMerge w:val="continue"/>
                  <w:tcBorders>
                    <w:left w:val="single" w:color="auto" w:sz="4" w:space="0"/>
                    <w:right w:val="single" w:color="auto" w:sz="4" w:space="0"/>
                  </w:tcBorders>
                  <w:vAlign w:val="center"/>
                </w:tcPr>
                <w:p>
                  <w:pPr>
                    <w:jc w:val="center"/>
                    <w:rPr>
                      <w:rFonts w:ascii="Times New Roman" w:hAnsi="Times New Roman" w:eastAsia="宋体" w:cs="Times New Roman"/>
                      <w:sz w:val="18"/>
                      <w:szCs w:val="18"/>
                    </w:rPr>
                  </w:pP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0</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0</w:t>
                  </w:r>
                </w:p>
              </w:tc>
            </w:tr>
          </w:tbl>
          <w:p>
            <w:pPr>
              <w:widowControl/>
              <w:spacing w:before="120" w:beforeLines="50"/>
              <w:jc w:val="center"/>
              <w:textAlignment w:val="baseline"/>
              <w:rPr>
                <w:rFonts w:ascii="Times New Roman" w:hAnsi="Times New Roman" w:eastAsia="宋体" w:cs="Times New Roman"/>
                <w:b/>
                <w:kern w:val="24"/>
                <w:szCs w:val="21"/>
              </w:rPr>
            </w:pPr>
            <w:r>
              <w:rPr>
                <w:rFonts w:hint="eastAsia" w:ascii="Times New Roman" w:hAnsi="Times New Roman" w:eastAsia="宋体" w:cs="Times New Roman"/>
                <w:b/>
                <w:kern w:val="24"/>
                <w:szCs w:val="21"/>
              </w:rPr>
              <w:t>表21产污环节、污染物种类、排放形式及污染防治设施一览表</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0"/>
              <w:gridCol w:w="1350"/>
              <w:gridCol w:w="1175"/>
              <w:gridCol w:w="686"/>
              <w:gridCol w:w="589"/>
              <w:gridCol w:w="783"/>
              <w:gridCol w:w="686"/>
              <w:gridCol w:w="1363"/>
              <w:gridCol w:w="9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trPr>
              <w:tc>
                <w:tcPr>
                  <w:tcW w:w="0" w:type="auto"/>
                  <w:vMerge w:val="restart"/>
                  <w:vAlign w:val="center"/>
                </w:tcPr>
                <w:p>
                  <w:pPr>
                    <w:widowControl/>
                    <w:adjustRightInd w:val="0"/>
                    <w:snapToGrid w:val="0"/>
                    <w:jc w:val="center"/>
                    <w:textAlignment w:val="baseline"/>
                    <w:rPr>
                      <w:rFonts w:ascii="Times New Roman" w:hAnsi="Times New Roman" w:eastAsia="宋体" w:cs="Times New Roman"/>
                      <w:kern w:val="24"/>
                      <w:sz w:val="18"/>
                      <w:szCs w:val="18"/>
                    </w:rPr>
                  </w:pPr>
                  <w:r>
                    <w:rPr>
                      <w:rFonts w:hint="eastAsia" w:ascii="Times New Roman" w:hAnsi="Times New Roman" w:eastAsia="宋体" w:cs="Times New Roman"/>
                      <w:kern w:val="24"/>
                      <w:sz w:val="18"/>
                      <w:szCs w:val="18"/>
                    </w:rPr>
                    <w:t>主要生产单元</w:t>
                  </w:r>
                </w:p>
              </w:tc>
              <w:tc>
                <w:tcPr>
                  <w:tcW w:w="0" w:type="auto"/>
                  <w:vMerge w:val="restart"/>
                  <w:vAlign w:val="center"/>
                </w:tcPr>
                <w:p>
                  <w:pPr>
                    <w:widowControl/>
                    <w:adjustRightInd w:val="0"/>
                    <w:snapToGrid w:val="0"/>
                    <w:jc w:val="center"/>
                    <w:textAlignment w:val="baseline"/>
                    <w:rPr>
                      <w:rFonts w:ascii="Times New Roman" w:hAnsi="Times New Roman" w:eastAsia="宋体" w:cs="Times New Roman"/>
                      <w:kern w:val="24"/>
                      <w:sz w:val="18"/>
                      <w:szCs w:val="18"/>
                    </w:rPr>
                  </w:pPr>
                  <w:r>
                    <w:rPr>
                      <w:rFonts w:hint="eastAsia" w:ascii="Times New Roman" w:hAnsi="Times New Roman" w:eastAsia="宋体" w:cs="Times New Roman"/>
                      <w:kern w:val="24"/>
                      <w:sz w:val="18"/>
                      <w:szCs w:val="18"/>
                    </w:rPr>
                    <w:t>产排污环节</w:t>
                  </w:r>
                </w:p>
              </w:tc>
              <w:tc>
                <w:tcPr>
                  <w:tcW w:w="0" w:type="auto"/>
                  <w:vMerge w:val="restart"/>
                  <w:vAlign w:val="center"/>
                </w:tcPr>
                <w:p>
                  <w:pPr>
                    <w:widowControl/>
                    <w:adjustRightInd w:val="0"/>
                    <w:snapToGrid w:val="0"/>
                    <w:jc w:val="center"/>
                    <w:textAlignment w:val="baseline"/>
                    <w:rPr>
                      <w:rFonts w:ascii="Times New Roman" w:hAnsi="Times New Roman" w:eastAsia="宋体" w:cs="Times New Roman"/>
                      <w:kern w:val="24"/>
                      <w:sz w:val="18"/>
                      <w:szCs w:val="18"/>
                    </w:rPr>
                  </w:pPr>
                  <w:r>
                    <w:rPr>
                      <w:rFonts w:hint="eastAsia" w:ascii="Times New Roman" w:hAnsi="Times New Roman" w:eastAsia="宋体" w:cs="Times New Roman"/>
                      <w:kern w:val="24"/>
                      <w:sz w:val="18"/>
                      <w:szCs w:val="18"/>
                    </w:rPr>
                    <w:t>污染物种类</w:t>
                  </w:r>
                </w:p>
              </w:tc>
              <w:tc>
                <w:tcPr>
                  <w:tcW w:w="0" w:type="auto"/>
                  <w:vMerge w:val="restart"/>
                  <w:vAlign w:val="center"/>
                </w:tcPr>
                <w:p>
                  <w:pPr>
                    <w:widowControl/>
                    <w:adjustRightInd w:val="0"/>
                    <w:snapToGrid w:val="0"/>
                    <w:jc w:val="center"/>
                    <w:textAlignment w:val="baseline"/>
                    <w:rPr>
                      <w:rFonts w:ascii="Times New Roman" w:hAnsi="Times New Roman" w:eastAsia="宋体" w:cs="Times New Roman"/>
                      <w:kern w:val="24"/>
                      <w:sz w:val="18"/>
                      <w:szCs w:val="18"/>
                    </w:rPr>
                  </w:pPr>
                  <w:r>
                    <w:rPr>
                      <w:rFonts w:hint="eastAsia" w:ascii="Times New Roman" w:hAnsi="Times New Roman" w:eastAsia="宋体" w:cs="Times New Roman"/>
                      <w:kern w:val="24"/>
                      <w:sz w:val="18"/>
                      <w:szCs w:val="18"/>
                    </w:rPr>
                    <w:t>排放方式</w:t>
                  </w:r>
                </w:p>
              </w:tc>
              <w:tc>
                <w:tcPr>
                  <w:tcW w:w="0" w:type="auto"/>
                  <w:vMerge w:val="restart"/>
                  <w:vAlign w:val="center"/>
                </w:tcPr>
                <w:p>
                  <w:pPr>
                    <w:widowControl/>
                    <w:adjustRightInd w:val="0"/>
                    <w:snapToGrid w:val="0"/>
                    <w:jc w:val="center"/>
                    <w:textAlignment w:val="baseline"/>
                    <w:rPr>
                      <w:rFonts w:ascii="Times New Roman" w:hAnsi="Times New Roman" w:eastAsia="宋体" w:cs="Times New Roman"/>
                      <w:kern w:val="24"/>
                      <w:sz w:val="18"/>
                      <w:szCs w:val="18"/>
                    </w:rPr>
                  </w:pPr>
                  <w:r>
                    <w:rPr>
                      <w:rFonts w:hint="eastAsia" w:ascii="Times New Roman" w:hAnsi="Times New Roman" w:eastAsia="宋体" w:cs="Times New Roman"/>
                      <w:kern w:val="24"/>
                      <w:sz w:val="18"/>
                      <w:szCs w:val="18"/>
                    </w:rPr>
                    <w:t>排放口</w:t>
                  </w:r>
                </w:p>
              </w:tc>
              <w:tc>
                <w:tcPr>
                  <w:tcW w:w="0" w:type="auto"/>
                  <w:vMerge w:val="restart"/>
                  <w:vAlign w:val="center"/>
                </w:tcPr>
                <w:p>
                  <w:pPr>
                    <w:widowControl/>
                    <w:adjustRightInd w:val="0"/>
                    <w:snapToGrid w:val="0"/>
                    <w:jc w:val="center"/>
                    <w:textAlignment w:val="baseline"/>
                    <w:rPr>
                      <w:rFonts w:ascii="Times New Roman" w:hAnsi="Times New Roman" w:eastAsia="宋体" w:cs="Times New Roman"/>
                      <w:kern w:val="24"/>
                      <w:sz w:val="18"/>
                      <w:szCs w:val="18"/>
                    </w:rPr>
                  </w:pPr>
                  <w:r>
                    <w:rPr>
                      <w:rFonts w:hint="eastAsia" w:ascii="Times New Roman" w:hAnsi="Times New Roman" w:eastAsia="宋体" w:cs="Times New Roman"/>
                      <w:kern w:val="24"/>
                      <w:sz w:val="18"/>
                      <w:szCs w:val="18"/>
                    </w:rPr>
                    <w:t>排放口类型</w:t>
                  </w:r>
                </w:p>
              </w:tc>
              <w:tc>
                <w:tcPr>
                  <w:tcW w:w="0" w:type="auto"/>
                  <w:vMerge w:val="restart"/>
                  <w:vAlign w:val="center"/>
                </w:tcPr>
                <w:p>
                  <w:pPr>
                    <w:widowControl/>
                    <w:adjustRightInd w:val="0"/>
                    <w:snapToGrid w:val="0"/>
                    <w:jc w:val="center"/>
                    <w:textAlignment w:val="baseline"/>
                    <w:rPr>
                      <w:rFonts w:ascii="Times New Roman" w:hAnsi="Times New Roman" w:eastAsia="宋体" w:cs="Times New Roman"/>
                      <w:kern w:val="24"/>
                      <w:sz w:val="18"/>
                      <w:szCs w:val="18"/>
                    </w:rPr>
                  </w:pPr>
                  <w:r>
                    <w:rPr>
                      <w:rFonts w:hint="eastAsia" w:ascii="Times New Roman" w:hAnsi="Times New Roman" w:eastAsia="宋体" w:cs="Times New Roman"/>
                      <w:kern w:val="24"/>
                      <w:sz w:val="18"/>
                      <w:szCs w:val="18"/>
                    </w:rPr>
                    <w:t>执行标准</w:t>
                  </w:r>
                </w:p>
              </w:tc>
              <w:tc>
                <w:tcPr>
                  <w:tcW w:w="0" w:type="auto"/>
                  <w:gridSpan w:val="2"/>
                  <w:vAlign w:val="center"/>
                </w:tcPr>
                <w:p>
                  <w:pPr>
                    <w:widowControl/>
                    <w:adjustRightInd w:val="0"/>
                    <w:snapToGrid w:val="0"/>
                    <w:jc w:val="center"/>
                    <w:textAlignment w:val="baseline"/>
                    <w:rPr>
                      <w:rFonts w:ascii="Times New Roman" w:hAnsi="Times New Roman" w:eastAsia="宋体" w:cs="Times New Roman"/>
                      <w:kern w:val="24"/>
                      <w:sz w:val="18"/>
                      <w:szCs w:val="18"/>
                    </w:rPr>
                  </w:pPr>
                  <w:r>
                    <w:rPr>
                      <w:rFonts w:hint="eastAsia" w:ascii="Times New Roman" w:hAnsi="Times New Roman" w:eastAsia="宋体" w:cs="Times New Roman"/>
                      <w:kern w:val="24"/>
                      <w:sz w:val="18"/>
                      <w:szCs w:val="18"/>
                    </w:rPr>
                    <w:t>污染防治设施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0" w:hRule="atLeast"/>
              </w:trPr>
              <w:tc>
                <w:tcPr>
                  <w:tcW w:w="0" w:type="auto"/>
                  <w:vMerge w:val="continue"/>
                  <w:vAlign w:val="center"/>
                </w:tcPr>
                <w:p>
                  <w:pPr>
                    <w:widowControl/>
                    <w:adjustRightInd w:val="0"/>
                    <w:snapToGrid w:val="0"/>
                    <w:jc w:val="center"/>
                    <w:textAlignment w:val="baseline"/>
                    <w:rPr>
                      <w:rFonts w:ascii="Times New Roman" w:hAnsi="Times New Roman" w:eastAsia="宋体" w:cs="Times New Roman"/>
                      <w:kern w:val="24"/>
                      <w:sz w:val="18"/>
                      <w:szCs w:val="18"/>
                    </w:rPr>
                  </w:pPr>
                </w:p>
              </w:tc>
              <w:tc>
                <w:tcPr>
                  <w:tcW w:w="0" w:type="auto"/>
                  <w:vMerge w:val="continue"/>
                  <w:vAlign w:val="center"/>
                </w:tcPr>
                <w:p>
                  <w:pPr>
                    <w:widowControl/>
                    <w:adjustRightInd w:val="0"/>
                    <w:snapToGrid w:val="0"/>
                    <w:jc w:val="center"/>
                    <w:textAlignment w:val="baseline"/>
                    <w:rPr>
                      <w:rFonts w:ascii="Times New Roman" w:hAnsi="Times New Roman" w:eastAsia="宋体" w:cs="Times New Roman"/>
                      <w:kern w:val="24"/>
                      <w:sz w:val="18"/>
                      <w:szCs w:val="18"/>
                    </w:rPr>
                  </w:pPr>
                </w:p>
              </w:tc>
              <w:tc>
                <w:tcPr>
                  <w:tcW w:w="0" w:type="auto"/>
                  <w:vMerge w:val="continue"/>
                  <w:vAlign w:val="center"/>
                </w:tcPr>
                <w:p>
                  <w:pPr>
                    <w:widowControl/>
                    <w:adjustRightInd w:val="0"/>
                    <w:snapToGrid w:val="0"/>
                    <w:jc w:val="center"/>
                    <w:textAlignment w:val="baseline"/>
                    <w:rPr>
                      <w:rFonts w:ascii="Times New Roman" w:hAnsi="Times New Roman" w:eastAsia="宋体" w:cs="Times New Roman"/>
                      <w:kern w:val="24"/>
                      <w:sz w:val="18"/>
                      <w:szCs w:val="18"/>
                    </w:rPr>
                  </w:pPr>
                </w:p>
              </w:tc>
              <w:tc>
                <w:tcPr>
                  <w:tcW w:w="0" w:type="auto"/>
                  <w:vMerge w:val="continue"/>
                  <w:vAlign w:val="center"/>
                </w:tcPr>
                <w:p>
                  <w:pPr>
                    <w:widowControl/>
                    <w:adjustRightInd w:val="0"/>
                    <w:snapToGrid w:val="0"/>
                    <w:jc w:val="center"/>
                    <w:textAlignment w:val="baseline"/>
                    <w:rPr>
                      <w:rFonts w:ascii="Times New Roman" w:hAnsi="Times New Roman" w:eastAsia="宋体" w:cs="Times New Roman"/>
                      <w:kern w:val="24"/>
                      <w:sz w:val="18"/>
                      <w:szCs w:val="18"/>
                    </w:rPr>
                  </w:pPr>
                </w:p>
              </w:tc>
              <w:tc>
                <w:tcPr>
                  <w:tcW w:w="0" w:type="auto"/>
                  <w:vMerge w:val="continue"/>
                  <w:vAlign w:val="center"/>
                </w:tcPr>
                <w:p>
                  <w:pPr>
                    <w:widowControl/>
                    <w:adjustRightInd w:val="0"/>
                    <w:snapToGrid w:val="0"/>
                    <w:jc w:val="center"/>
                    <w:textAlignment w:val="baseline"/>
                    <w:rPr>
                      <w:rFonts w:ascii="Times New Roman" w:hAnsi="Times New Roman" w:eastAsia="宋体" w:cs="Times New Roman"/>
                      <w:kern w:val="24"/>
                      <w:sz w:val="18"/>
                      <w:szCs w:val="18"/>
                    </w:rPr>
                  </w:pPr>
                </w:p>
              </w:tc>
              <w:tc>
                <w:tcPr>
                  <w:tcW w:w="0" w:type="auto"/>
                  <w:vMerge w:val="continue"/>
                  <w:vAlign w:val="center"/>
                </w:tcPr>
                <w:p>
                  <w:pPr>
                    <w:widowControl/>
                    <w:adjustRightInd w:val="0"/>
                    <w:snapToGrid w:val="0"/>
                    <w:jc w:val="center"/>
                    <w:textAlignment w:val="baseline"/>
                    <w:rPr>
                      <w:rFonts w:ascii="Times New Roman" w:hAnsi="Times New Roman" w:eastAsia="宋体" w:cs="Times New Roman"/>
                      <w:kern w:val="24"/>
                      <w:sz w:val="18"/>
                      <w:szCs w:val="18"/>
                    </w:rPr>
                  </w:pPr>
                </w:p>
              </w:tc>
              <w:tc>
                <w:tcPr>
                  <w:tcW w:w="0" w:type="auto"/>
                  <w:vMerge w:val="continue"/>
                  <w:vAlign w:val="center"/>
                </w:tcPr>
                <w:p>
                  <w:pPr>
                    <w:widowControl/>
                    <w:adjustRightInd w:val="0"/>
                    <w:snapToGrid w:val="0"/>
                    <w:jc w:val="center"/>
                    <w:textAlignment w:val="baseline"/>
                    <w:rPr>
                      <w:rFonts w:ascii="Times New Roman" w:hAnsi="Times New Roman" w:eastAsia="宋体" w:cs="Times New Roman"/>
                      <w:kern w:val="24"/>
                      <w:sz w:val="18"/>
                      <w:szCs w:val="18"/>
                    </w:rPr>
                  </w:pPr>
                </w:p>
              </w:tc>
              <w:tc>
                <w:tcPr>
                  <w:tcW w:w="0" w:type="auto"/>
                  <w:vAlign w:val="center"/>
                </w:tcPr>
                <w:p>
                  <w:pPr>
                    <w:adjustRightInd w:val="0"/>
                    <w:snapToGrid w:val="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污染治理设施及工艺名称</w:t>
                  </w:r>
                </w:p>
              </w:tc>
              <w:tc>
                <w:tcPr>
                  <w:tcW w:w="0" w:type="auto"/>
                  <w:vAlign w:val="center"/>
                </w:tcPr>
                <w:p>
                  <w:pPr>
                    <w:widowControl/>
                    <w:adjustRightInd w:val="0"/>
                    <w:snapToGrid w:val="0"/>
                    <w:jc w:val="center"/>
                    <w:textAlignment w:val="baseline"/>
                    <w:rPr>
                      <w:rFonts w:ascii="Times New Roman" w:hAnsi="Times New Roman" w:eastAsia="宋体" w:cs="Times New Roman"/>
                      <w:kern w:val="24"/>
                      <w:sz w:val="18"/>
                      <w:szCs w:val="18"/>
                    </w:rPr>
                  </w:pPr>
                  <w:r>
                    <w:rPr>
                      <w:rFonts w:hint="eastAsia" w:ascii="Times New Roman" w:hAnsi="Times New Roman" w:eastAsia="宋体" w:cs="Times New Roman"/>
                      <w:kern w:val="24"/>
                      <w:sz w:val="18"/>
                      <w:szCs w:val="18"/>
                    </w:rPr>
                    <w:t>是否为可行技术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0" w:type="auto"/>
                  <w:vAlign w:val="center"/>
                </w:tcPr>
                <w:p>
                  <w:pPr>
                    <w:widowControl/>
                    <w:adjustRightInd w:val="0"/>
                    <w:snapToGrid w:val="0"/>
                    <w:jc w:val="center"/>
                    <w:textAlignment w:val="baseline"/>
                    <w:rPr>
                      <w:rFonts w:ascii="Times New Roman" w:hAnsi="Times New Roman" w:eastAsia="宋体" w:cs="Times New Roman"/>
                      <w:kern w:val="24"/>
                      <w:sz w:val="18"/>
                      <w:szCs w:val="18"/>
                    </w:rPr>
                  </w:pPr>
                  <w:r>
                    <w:rPr>
                      <w:rFonts w:hint="eastAsia" w:ascii="Times New Roman" w:hAnsi="Times New Roman" w:eastAsia="宋体" w:cs="Times New Roman"/>
                      <w:kern w:val="24"/>
                      <w:sz w:val="18"/>
                      <w:szCs w:val="18"/>
                    </w:rPr>
                    <w:t>公用单元</w:t>
                  </w:r>
                </w:p>
              </w:tc>
              <w:tc>
                <w:tcPr>
                  <w:tcW w:w="0" w:type="auto"/>
                  <w:vAlign w:val="center"/>
                </w:tcPr>
                <w:p>
                  <w:pPr>
                    <w:widowControl/>
                    <w:adjustRightInd w:val="0"/>
                    <w:snapToGrid w:val="0"/>
                    <w:jc w:val="center"/>
                    <w:textAlignment w:val="baseline"/>
                    <w:rPr>
                      <w:rFonts w:ascii="Times New Roman" w:hAnsi="Times New Roman" w:eastAsia="宋体" w:cs="Times New Roman"/>
                      <w:kern w:val="24"/>
                      <w:sz w:val="18"/>
                      <w:szCs w:val="18"/>
                    </w:rPr>
                  </w:pPr>
                  <w:r>
                    <w:rPr>
                      <w:rFonts w:hint="eastAsia" w:ascii="Times New Roman" w:hAnsi="Times New Roman" w:eastAsia="宋体" w:cs="Times New Roman"/>
                      <w:kern w:val="24"/>
                      <w:sz w:val="18"/>
                      <w:szCs w:val="18"/>
                    </w:rPr>
                    <w:t>破碎、甩干、筛分废水</w:t>
                  </w:r>
                </w:p>
              </w:tc>
              <w:tc>
                <w:tcPr>
                  <w:tcW w:w="0" w:type="auto"/>
                  <w:vAlign w:val="center"/>
                </w:tcPr>
                <w:p>
                  <w:pPr>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COD、</w:t>
                  </w:r>
                  <w:r>
                    <w:rPr>
                      <w:rFonts w:ascii="Times New Roman" w:hAnsi="Times New Roman" w:eastAsia="宋体" w:cs="Times New Roman"/>
                      <w:sz w:val="18"/>
                      <w:szCs w:val="18"/>
                    </w:rPr>
                    <w:t>氨氮</w:t>
                  </w:r>
                  <w:r>
                    <w:rPr>
                      <w:rFonts w:hint="eastAsia" w:ascii="Times New Roman" w:hAnsi="Times New Roman" w:eastAsia="宋体" w:cs="Times New Roman"/>
                      <w:sz w:val="18"/>
                      <w:szCs w:val="18"/>
                    </w:rPr>
                    <w:t>、SS</w:t>
                  </w:r>
                </w:p>
              </w:tc>
              <w:tc>
                <w:tcPr>
                  <w:tcW w:w="0" w:type="auto"/>
                  <w:vAlign w:val="center"/>
                </w:tcPr>
                <w:p>
                  <w:pPr>
                    <w:widowControl/>
                    <w:adjustRightInd w:val="0"/>
                    <w:snapToGrid w:val="0"/>
                    <w:jc w:val="center"/>
                    <w:textAlignment w:val="baseline"/>
                    <w:rPr>
                      <w:rFonts w:ascii="Times New Roman" w:hAnsi="Times New Roman" w:eastAsia="宋体" w:cs="Times New Roman"/>
                      <w:kern w:val="24"/>
                      <w:sz w:val="18"/>
                      <w:szCs w:val="18"/>
                    </w:rPr>
                  </w:pPr>
                  <w:r>
                    <w:rPr>
                      <w:rFonts w:hint="eastAsia" w:ascii="Times New Roman" w:hAnsi="Times New Roman" w:eastAsia="宋体" w:cs="Times New Roman"/>
                      <w:kern w:val="24"/>
                      <w:sz w:val="18"/>
                      <w:szCs w:val="18"/>
                    </w:rPr>
                    <w:t>不外排</w:t>
                  </w:r>
                </w:p>
              </w:tc>
              <w:tc>
                <w:tcPr>
                  <w:tcW w:w="0" w:type="auto"/>
                  <w:vAlign w:val="center"/>
                </w:tcPr>
                <w:p>
                  <w:pPr>
                    <w:widowControl/>
                    <w:adjustRightInd w:val="0"/>
                    <w:snapToGrid w:val="0"/>
                    <w:jc w:val="center"/>
                    <w:textAlignment w:val="baseline"/>
                    <w:rPr>
                      <w:rFonts w:ascii="Times New Roman" w:hAnsi="Times New Roman" w:eastAsia="宋体" w:cs="Times New Roman"/>
                      <w:kern w:val="24"/>
                      <w:sz w:val="18"/>
                      <w:szCs w:val="18"/>
                    </w:rPr>
                  </w:pPr>
                  <w:r>
                    <w:rPr>
                      <w:rFonts w:hint="eastAsia" w:ascii="Times New Roman" w:hAnsi="Times New Roman" w:eastAsia="宋体" w:cs="Times New Roman"/>
                      <w:kern w:val="24"/>
                      <w:sz w:val="18"/>
                      <w:szCs w:val="18"/>
                    </w:rPr>
                    <w:t>/</w:t>
                  </w:r>
                </w:p>
              </w:tc>
              <w:tc>
                <w:tcPr>
                  <w:tcW w:w="0" w:type="auto"/>
                  <w:vAlign w:val="center"/>
                </w:tcPr>
                <w:p>
                  <w:pPr>
                    <w:widowControl/>
                    <w:adjustRightInd w:val="0"/>
                    <w:snapToGrid w:val="0"/>
                    <w:jc w:val="center"/>
                    <w:textAlignment w:val="baseline"/>
                    <w:rPr>
                      <w:rFonts w:ascii="Times New Roman" w:hAnsi="Times New Roman" w:eastAsia="宋体" w:cs="Times New Roman"/>
                      <w:kern w:val="24"/>
                      <w:sz w:val="18"/>
                      <w:szCs w:val="18"/>
                    </w:rPr>
                  </w:pPr>
                  <w:r>
                    <w:rPr>
                      <w:rFonts w:hint="eastAsia" w:ascii="Times New Roman" w:hAnsi="Times New Roman" w:eastAsia="宋体" w:cs="Times New Roman"/>
                      <w:kern w:val="24"/>
                      <w:sz w:val="18"/>
                      <w:szCs w:val="18"/>
                    </w:rPr>
                    <w:t>/</w:t>
                  </w:r>
                </w:p>
              </w:tc>
              <w:tc>
                <w:tcPr>
                  <w:tcW w:w="0" w:type="auto"/>
                  <w:vAlign w:val="center"/>
                </w:tcPr>
                <w:p>
                  <w:pPr>
                    <w:widowControl/>
                    <w:adjustRightInd w:val="0"/>
                    <w:snapToGrid w:val="0"/>
                    <w:jc w:val="center"/>
                    <w:textAlignment w:val="baseline"/>
                    <w:rPr>
                      <w:rFonts w:ascii="Times New Roman" w:hAnsi="Times New Roman" w:eastAsia="宋体" w:cs="Times New Roman"/>
                      <w:kern w:val="24"/>
                      <w:sz w:val="18"/>
                      <w:szCs w:val="18"/>
                    </w:rPr>
                  </w:pPr>
                  <w:r>
                    <w:rPr>
                      <w:rFonts w:hint="eastAsia" w:ascii="Times New Roman" w:hAnsi="Times New Roman" w:eastAsia="宋体" w:cs="Times New Roman"/>
                      <w:kern w:val="24"/>
                      <w:sz w:val="18"/>
                      <w:szCs w:val="18"/>
                    </w:rPr>
                    <w:t>/</w:t>
                  </w:r>
                </w:p>
              </w:tc>
              <w:tc>
                <w:tcPr>
                  <w:tcW w:w="0" w:type="auto"/>
                  <w:vAlign w:val="center"/>
                </w:tcPr>
                <w:p>
                  <w:pPr>
                    <w:widowControl/>
                    <w:adjustRightInd w:val="0"/>
                    <w:snapToGrid w:val="0"/>
                    <w:jc w:val="center"/>
                    <w:textAlignment w:val="baseline"/>
                    <w:rPr>
                      <w:rFonts w:ascii="Times New Roman" w:hAnsi="Times New Roman" w:eastAsia="宋体" w:cs="Times New Roman"/>
                      <w:kern w:val="24"/>
                      <w:sz w:val="18"/>
                      <w:szCs w:val="18"/>
                    </w:rPr>
                  </w:pPr>
                  <w:r>
                    <w:rPr>
                      <w:rFonts w:hint="eastAsia" w:ascii="Times New Roman" w:hAnsi="Times New Roman" w:eastAsia="宋体" w:cs="Times New Roman"/>
                      <w:kern w:val="24"/>
                      <w:sz w:val="18"/>
                      <w:szCs w:val="18"/>
                    </w:rPr>
                    <w:t>隔油池+絮凝沉淀</w:t>
                  </w:r>
                </w:p>
              </w:tc>
              <w:tc>
                <w:tcPr>
                  <w:tcW w:w="0" w:type="auto"/>
                  <w:vAlign w:val="center"/>
                </w:tcPr>
                <w:p>
                  <w:pPr>
                    <w:widowControl/>
                    <w:adjustRightInd w:val="0"/>
                    <w:snapToGrid w:val="0"/>
                    <w:jc w:val="center"/>
                    <w:textAlignment w:val="baseline"/>
                    <w:rPr>
                      <w:rFonts w:ascii="Times New Roman" w:hAnsi="Times New Roman" w:eastAsia="宋体" w:cs="Times New Roman"/>
                      <w:kern w:val="24"/>
                      <w:sz w:val="18"/>
                      <w:szCs w:val="18"/>
                    </w:rPr>
                  </w:pPr>
                  <w:r>
                    <w:rPr>
                      <w:rFonts w:hint="eastAsia" w:ascii="Times New Roman" w:hAnsi="Times New Roman" w:eastAsia="宋体" w:cs="Times New Roman"/>
                      <w:kern w:val="24"/>
                      <w:sz w:val="18"/>
                      <w:szCs w:val="18"/>
                    </w:rPr>
                    <w:t>是</w:t>
                  </w:r>
                </w:p>
                <w:p>
                  <w:pPr>
                    <w:widowControl/>
                    <w:adjustRightInd w:val="0"/>
                    <w:snapToGrid w:val="0"/>
                    <w:ind w:firstLine="482"/>
                    <w:jc w:val="center"/>
                    <w:textAlignment w:val="baseline"/>
                    <w:rPr>
                      <w:rFonts w:ascii="Times New Roman" w:hAnsi="Times New Roman" w:eastAsia="宋体" w:cs="Times New Roman"/>
                      <w:kern w:val="24"/>
                      <w:sz w:val="18"/>
                      <w:szCs w:val="18"/>
                    </w:rPr>
                  </w:pPr>
                </w:p>
              </w:tc>
            </w:tr>
          </w:tbl>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4）废水回用可行性分析</w:t>
            </w:r>
          </w:p>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本项目废水处理后回用于生产，因为生产工艺对水质没有要求，且上游厂家对产品的清洁度没有要求，所以废水经污水处理系统处理后可回用于生产</w:t>
            </w:r>
            <w:r>
              <w:rPr>
                <w:rFonts w:hint="eastAsia" w:ascii="Times New Roman" w:hAnsi="Times New Roman" w:eastAsia="宋体" w:cs="Times New Roman"/>
                <w:kern w:val="24"/>
                <w:szCs w:val="21"/>
                <w:lang w:eastAsia="zh-CN"/>
              </w:rPr>
              <w:t>，本项目无生产废水外排</w:t>
            </w:r>
            <w:r>
              <w:rPr>
                <w:rFonts w:hint="eastAsia" w:ascii="Times New Roman" w:hAnsi="Times New Roman" w:eastAsia="宋体" w:cs="Times New Roman"/>
                <w:kern w:val="24"/>
                <w:szCs w:val="21"/>
              </w:rPr>
              <w:t>。</w:t>
            </w:r>
          </w:p>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5）环境影响分析</w:t>
            </w:r>
          </w:p>
          <w:p>
            <w:pPr>
              <w:widowControl/>
              <w:adjustRightInd w:val="0"/>
              <w:snapToGrid w:val="0"/>
              <w:spacing w:line="360" w:lineRule="auto"/>
              <w:ind w:firstLine="420" w:firstLineChars="200"/>
              <w:jc w:val="left"/>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生产废水经污水处理系统处理后可回用于生产，不排入外环境，不会对周边水环境产生影响。</w:t>
            </w:r>
          </w:p>
          <w:p>
            <w:pPr>
              <w:widowControl/>
              <w:snapToGrid w:val="0"/>
              <w:spacing w:line="360" w:lineRule="auto"/>
              <w:ind w:firstLine="420" w:firstLineChars="200"/>
              <w:rPr>
                <w:rFonts w:ascii="Times New Roman" w:hAnsi="Times New Roman" w:eastAsia="宋体" w:cs="Times New Roman"/>
                <w:kern w:val="0"/>
                <w:szCs w:val="21"/>
              </w:rPr>
            </w:pPr>
            <w:r>
              <w:rPr>
                <w:rFonts w:ascii="Times New Roman" w:hAnsi="Times New Roman" w:eastAsia="宋体" w:cs="Times New Roman"/>
                <w:kern w:val="0"/>
                <w:szCs w:val="21"/>
              </w:rPr>
              <w:t>（</w:t>
            </w:r>
            <w:r>
              <w:rPr>
                <w:rFonts w:hint="eastAsia" w:ascii="Times New Roman" w:hAnsi="Times New Roman" w:eastAsia="宋体" w:cs="Times New Roman"/>
                <w:kern w:val="0"/>
                <w:szCs w:val="21"/>
              </w:rPr>
              <w:t>2</w:t>
            </w:r>
            <w:r>
              <w:rPr>
                <w:rFonts w:ascii="Times New Roman" w:hAnsi="Times New Roman" w:eastAsia="宋体" w:cs="Times New Roman"/>
                <w:kern w:val="0"/>
                <w:szCs w:val="21"/>
              </w:rPr>
              <w:t>）地下水</w:t>
            </w:r>
          </w:p>
          <w:p>
            <w:pPr>
              <w:widowControl/>
              <w:snapToGrid w:val="0"/>
              <w:spacing w:line="360" w:lineRule="auto"/>
              <w:ind w:firstLine="420" w:firstLineChars="200"/>
              <w:rPr>
                <w:rFonts w:ascii="Times New Roman" w:hAnsi="Times New Roman" w:eastAsia="宋体" w:cs="Times New Roman"/>
                <w:kern w:val="24"/>
                <w:szCs w:val="21"/>
              </w:rPr>
            </w:pPr>
            <w:r>
              <w:rPr>
                <w:rFonts w:ascii="Times New Roman" w:hAnsi="Times New Roman" w:eastAsia="宋体" w:cs="Times New Roman"/>
                <w:kern w:val="0"/>
                <w:szCs w:val="21"/>
              </w:rPr>
              <w:t>根据《环境影响评价技术导则地下水环境》（HJ610-2016），Ⅳ类建设项目不开展地下水环境影响评价。</w:t>
            </w:r>
            <w:r>
              <w:rPr>
                <w:rFonts w:ascii="Times New Roman" w:hAnsi="Times New Roman" w:eastAsia="宋体" w:cs="Times New Roman"/>
                <w:kern w:val="24"/>
                <w:szCs w:val="21"/>
              </w:rPr>
              <w:t>根据该导则附录 A 的地下水环境影响评价行业分类表，本项目属于“</w:t>
            </w:r>
            <w:r>
              <w:rPr>
                <w:rFonts w:hint="eastAsia" w:ascii="Times New Roman" w:hAnsi="Times New Roman" w:eastAsia="宋体" w:cs="Times New Roman"/>
                <w:kern w:val="24"/>
                <w:szCs w:val="21"/>
              </w:rPr>
              <w:t>U-155废旧资源（含生物质）加工、再生利用</w:t>
            </w:r>
            <w:r>
              <w:rPr>
                <w:rFonts w:ascii="Times New Roman" w:hAnsi="Times New Roman" w:eastAsia="宋体" w:cs="Times New Roman"/>
                <w:kern w:val="24"/>
                <w:szCs w:val="21"/>
              </w:rPr>
              <w:t>：报告表”类别，属于Ⅳ类建设项目，因此，可不开展地下水环境影响评价。</w:t>
            </w:r>
          </w:p>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3、噪声</w:t>
            </w:r>
          </w:p>
          <w:p>
            <w:pPr>
              <w:widowControl/>
              <w:adjustRightInd w:val="0"/>
              <w:snapToGrid w:val="0"/>
              <w:spacing w:line="360" w:lineRule="auto"/>
              <w:ind w:firstLine="420"/>
              <w:jc w:val="left"/>
              <w:textAlignment w:val="baseline"/>
              <w:rPr>
                <w:rFonts w:ascii="Times New Roman" w:hAnsi="Times New Roman" w:eastAsia="宋体" w:cs="Times New Roman"/>
                <w:b/>
                <w:bCs/>
                <w:kern w:val="24"/>
                <w:szCs w:val="21"/>
              </w:rPr>
            </w:pPr>
            <w:r>
              <w:rPr>
                <w:rFonts w:hint="eastAsia" w:ascii="Times New Roman" w:hAnsi="Times New Roman" w:eastAsia="宋体" w:cs="Times New Roman"/>
                <w:kern w:val="24"/>
                <w:szCs w:val="21"/>
              </w:rPr>
              <w:t>（1）</w:t>
            </w:r>
            <w:r>
              <w:rPr>
                <w:rFonts w:hint="eastAsia" w:ascii="Times New Roman" w:hAnsi="Times New Roman" w:eastAsia="宋体" w:cs="Times New Roman"/>
                <w:bCs/>
                <w:kern w:val="24"/>
                <w:szCs w:val="21"/>
              </w:rPr>
              <w:t>声源分析</w:t>
            </w:r>
          </w:p>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本项目噪声源主要为粉碎机、</w:t>
            </w:r>
            <w:r>
              <w:rPr>
                <w:rFonts w:hint="eastAsia" w:ascii="Times New Roman" w:hAnsi="宋体" w:eastAsia="宋体" w:cs="Times New Roman"/>
                <w:kern w:val="0"/>
                <w:szCs w:val="21"/>
              </w:rPr>
              <w:t>扒瓶机、风选机</w:t>
            </w:r>
            <w:r>
              <w:rPr>
                <w:rFonts w:hint="eastAsia" w:ascii="Times New Roman" w:hAnsi="Times New Roman" w:eastAsia="宋体" w:cs="Times New Roman"/>
                <w:kern w:val="24"/>
                <w:szCs w:val="21"/>
              </w:rPr>
              <w:t>等设备产生的噪声，其声源值大约为75~85dB（A），采取的噪声污染防治措施主要有：设计设备选型采用优质低噪设备；对产噪设备采用减震基础、隔声的降噪措施。</w:t>
            </w:r>
          </w:p>
          <w:p>
            <w:pPr>
              <w:widowControl/>
              <w:adjustRightInd w:val="0"/>
              <w:snapToGrid w:val="0"/>
              <w:spacing w:line="360" w:lineRule="auto"/>
              <w:ind w:firstLine="420"/>
              <w:textAlignment w:val="baseline"/>
              <w:rPr>
                <w:rFonts w:ascii="Times New Roman" w:hAnsi="Times New Roman" w:eastAsia="仿宋_GB2312" w:cs="Times New Roman"/>
                <w:kern w:val="24"/>
                <w:sz w:val="24"/>
                <w:szCs w:val="24"/>
              </w:rPr>
            </w:pPr>
            <w:r>
              <w:rPr>
                <w:rFonts w:hint="eastAsia" w:ascii="Times New Roman" w:hAnsi="Times New Roman" w:eastAsia="宋体" w:cs="Times New Roman"/>
                <w:kern w:val="24"/>
                <w:szCs w:val="21"/>
              </w:rPr>
              <w:t>各生产单元的主要噪声源及控制措施见下表</w:t>
            </w:r>
            <w:r>
              <w:rPr>
                <w:rFonts w:ascii="Times New Roman" w:hAnsi="Times New Roman" w:eastAsia="宋体" w:cs="Times New Roman"/>
                <w:kern w:val="24"/>
                <w:szCs w:val="21"/>
              </w:rPr>
              <w:t>。</w:t>
            </w:r>
          </w:p>
          <w:p>
            <w:pPr>
              <w:adjustRightInd w:val="0"/>
              <w:snapToGrid w:val="0"/>
              <w:spacing w:before="120" w:beforeLines="50"/>
              <w:jc w:val="center"/>
              <w:rPr>
                <w:rFonts w:ascii="Times New Roman" w:hAnsi="Times New Roman" w:eastAsia="宋体" w:cs="Times New Roman"/>
                <w:b/>
                <w:szCs w:val="24"/>
              </w:rPr>
            </w:pPr>
            <w:r>
              <w:rPr>
                <w:rFonts w:hint="eastAsia" w:ascii="Times New Roman" w:hAnsi="Times New Roman" w:eastAsia="宋体" w:cs="Times New Roman"/>
                <w:b/>
                <w:szCs w:val="24"/>
              </w:rPr>
              <w:t>表 22噪声源强调查清单</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8"/>
              <w:gridCol w:w="793"/>
              <w:gridCol w:w="1062"/>
              <w:gridCol w:w="1134"/>
              <w:gridCol w:w="850"/>
              <w:gridCol w:w="1843"/>
              <w:gridCol w:w="1134"/>
              <w:gridCol w:w="11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21" w:hRule="atLeast"/>
              </w:trPr>
              <w:tc>
                <w:tcPr>
                  <w:tcW w:w="0" w:type="auto"/>
                  <w:vMerge w:val="restart"/>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序号</w:t>
                  </w:r>
                </w:p>
              </w:tc>
              <w:tc>
                <w:tcPr>
                  <w:tcW w:w="0" w:type="auto"/>
                  <w:vMerge w:val="restart"/>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声源名称</w:t>
                  </w:r>
                </w:p>
              </w:tc>
              <w:tc>
                <w:tcPr>
                  <w:tcW w:w="3046" w:type="dxa"/>
                  <w:gridSpan w:val="3"/>
                  <w:vMerge w:val="restart"/>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空间相对位置</w:t>
                  </w:r>
                </w:p>
              </w:tc>
              <w:tc>
                <w:tcPr>
                  <w:tcW w:w="1843"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声源源强</w:t>
                  </w:r>
                </w:p>
              </w:tc>
              <w:tc>
                <w:tcPr>
                  <w:tcW w:w="1134" w:type="dxa"/>
                  <w:vMerge w:val="restart"/>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声源控制措施</w:t>
                  </w:r>
                </w:p>
              </w:tc>
              <w:tc>
                <w:tcPr>
                  <w:tcW w:w="1145" w:type="dxa"/>
                  <w:vMerge w:val="restart"/>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建筑物插入损失/dB(A)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0" w:type="auto"/>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c>
                <w:tcPr>
                  <w:tcW w:w="0" w:type="auto"/>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c>
                <w:tcPr>
                  <w:tcW w:w="3046" w:type="dxa"/>
                  <w:gridSpan w:val="3"/>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c>
                <w:tcPr>
                  <w:tcW w:w="1843" w:type="dxa"/>
                  <w:vMerge w:val="restart"/>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声功率级/dB(A)</w:t>
                  </w:r>
                </w:p>
              </w:tc>
              <w:tc>
                <w:tcPr>
                  <w:tcW w:w="1134" w:type="dxa"/>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c>
                <w:tcPr>
                  <w:tcW w:w="1145" w:type="dxa"/>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7" w:hRule="atLeast"/>
              </w:trPr>
              <w:tc>
                <w:tcPr>
                  <w:tcW w:w="0" w:type="auto"/>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c>
                <w:tcPr>
                  <w:tcW w:w="0" w:type="auto"/>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c>
                <w:tcPr>
                  <w:tcW w:w="3046" w:type="dxa"/>
                  <w:gridSpan w:val="3"/>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c>
                <w:tcPr>
                  <w:tcW w:w="1843" w:type="dxa"/>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c>
                <w:tcPr>
                  <w:tcW w:w="1134" w:type="dxa"/>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c>
                <w:tcPr>
                  <w:tcW w:w="1145" w:type="dxa"/>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trPr>
              <w:tc>
                <w:tcPr>
                  <w:tcW w:w="0" w:type="auto"/>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c>
                <w:tcPr>
                  <w:tcW w:w="0" w:type="auto"/>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c>
                <w:tcPr>
                  <w:tcW w:w="1062"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X</w:t>
                  </w:r>
                </w:p>
              </w:tc>
              <w:tc>
                <w:tcPr>
                  <w:tcW w:w="1134"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Y</w:t>
                  </w:r>
                </w:p>
              </w:tc>
              <w:tc>
                <w:tcPr>
                  <w:tcW w:w="850"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Z</w:t>
                  </w:r>
                </w:p>
              </w:tc>
              <w:tc>
                <w:tcPr>
                  <w:tcW w:w="1843" w:type="dxa"/>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c>
                <w:tcPr>
                  <w:tcW w:w="1134" w:type="dxa"/>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c>
                <w:tcPr>
                  <w:tcW w:w="1145" w:type="dxa"/>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0" w:type="auto"/>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w:t>
                  </w:r>
                </w:p>
              </w:tc>
              <w:tc>
                <w:tcPr>
                  <w:tcW w:w="0" w:type="auto"/>
                  <w:vAlign w:val="center"/>
                </w:tcPr>
                <w:p>
                  <w:pPr>
                    <w:adjustRightInd w:val="0"/>
                    <w:snapToGrid w:val="0"/>
                    <w:jc w:val="center"/>
                    <w:rPr>
                      <w:rFonts w:ascii="Times New Roman" w:hAnsi="宋体" w:eastAsia="宋体" w:cs="Times New Roman"/>
                      <w:kern w:val="0"/>
                      <w:sz w:val="18"/>
                      <w:szCs w:val="18"/>
                    </w:rPr>
                  </w:pPr>
                  <w:r>
                    <w:rPr>
                      <w:rFonts w:ascii="Times New Roman" w:hAnsi="宋体" w:eastAsia="宋体" w:cs="Times New Roman"/>
                      <w:kern w:val="0"/>
                      <w:sz w:val="18"/>
                      <w:szCs w:val="18"/>
                    </w:rPr>
                    <w:t>打包机</w:t>
                  </w:r>
                </w:p>
              </w:tc>
              <w:tc>
                <w:tcPr>
                  <w:tcW w:w="1062"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13.21</w:t>
                  </w:r>
                </w:p>
              </w:tc>
              <w:tc>
                <w:tcPr>
                  <w:tcW w:w="1134"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8.2</w:t>
                  </w:r>
                </w:p>
              </w:tc>
              <w:tc>
                <w:tcPr>
                  <w:tcW w:w="850"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w:t>
                  </w:r>
                </w:p>
              </w:tc>
              <w:tc>
                <w:tcPr>
                  <w:tcW w:w="1843"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75</w:t>
                  </w:r>
                </w:p>
              </w:tc>
              <w:tc>
                <w:tcPr>
                  <w:tcW w:w="1134" w:type="dxa"/>
                  <w:vMerge w:val="restart"/>
                  <w:vAlign w:val="center"/>
                </w:tcPr>
                <w:p>
                  <w:pPr>
                    <w:adjustRightInd w:val="0"/>
                    <w:snapToGrid w:val="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基础减震+建筑</w:t>
                  </w:r>
                  <w:r>
                    <w:rPr>
                      <w:rFonts w:ascii="Times New Roman" w:hAnsi="Times New Roman" w:eastAsia="宋体" w:cs="Times New Roman"/>
                      <w:sz w:val="18"/>
                      <w:szCs w:val="18"/>
                    </w:rPr>
                    <w:t>隔声（建筑物内设</w:t>
                  </w:r>
                  <w:r>
                    <w:rPr>
                      <w:rFonts w:hint="eastAsia" w:ascii="Times New Roman" w:hAnsi="Times New Roman" w:eastAsia="宋体" w:cs="Times New Roman"/>
                      <w:sz w:val="18"/>
                      <w:szCs w:val="18"/>
                    </w:rPr>
                    <w:t>隔间</w:t>
                  </w:r>
                  <w:r>
                    <w:rPr>
                      <w:rFonts w:ascii="Times New Roman" w:hAnsi="Times New Roman" w:eastAsia="宋体" w:cs="Times New Roman"/>
                      <w:sz w:val="18"/>
                      <w:szCs w:val="18"/>
                    </w:rPr>
                    <w:t>）</w:t>
                  </w:r>
                </w:p>
              </w:tc>
              <w:tc>
                <w:tcPr>
                  <w:tcW w:w="1145" w:type="dxa"/>
                  <w:vMerge w:val="restart"/>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2</w:t>
                  </w:r>
                </w:p>
              </w:tc>
              <w:tc>
                <w:tcPr>
                  <w:tcW w:w="0" w:type="auto"/>
                  <w:vAlign w:val="center"/>
                </w:tcPr>
                <w:p>
                  <w:pPr>
                    <w:adjustRightInd w:val="0"/>
                    <w:snapToGrid w:val="0"/>
                    <w:jc w:val="center"/>
                    <w:rPr>
                      <w:rFonts w:ascii="Times New Roman" w:hAnsi="宋体" w:eastAsia="宋体" w:cs="Times New Roman"/>
                      <w:kern w:val="0"/>
                      <w:sz w:val="18"/>
                      <w:szCs w:val="18"/>
                    </w:rPr>
                  </w:pPr>
                  <w:r>
                    <w:rPr>
                      <w:rFonts w:ascii="Times New Roman" w:hAnsi="宋体" w:eastAsia="宋体" w:cs="Times New Roman"/>
                      <w:kern w:val="0"/>
                      <w:sz w:val="18"/>
                      <w:szCs w:val="18"/>
                    </w:rPr>
                    <w:t>风选机</w:t>
                  </w:r>
                </w:p>
              </w:tc>
              <w:tc>
                <w:tcPr>
                  <w:tcW w:w="1062"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9.94</w:t>
                  </w:r>
                </w:p>
              </w:tc>
              <w:tc>
                <w:tcPr>
                  <w:tcW w:w="1134"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12.59</w:t>
                  </w:r>
                </w:p>
              </w:tc>
              <w:tc>
                <w:tcPr>
                  <w:tcW w:w="850"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w:t>
                  </w:r>
                </w:p>
              </w:tc>
              <w:tc>
                <w:tcPr>
                  <w:tcW w:w="1843"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85</w:t>
                  </w:r>
                </w:p>
              </w:tc>
              <w:tc>
                <w:tcPr>
                  <w:tcW w:w="1134" w:type="dxa"/>
                  <w:vMerge w:val="continue"/>
                  <w:vAlign w:val="center"/>
                </w:tcPr>
                <w:p>
                  <w:pPr>
                    <w:adjustRightInd w:val="0"/>
                    <w:snapToGrid w:val="0"/>
                    <w:jc w:val="center"/>
                    <w:rPr>
                      <w:rFonts w:ascii="Times New Roman" w:hAnsi="Times New Roman" w:eastAsia="宋体" w:cs="Times New Roman"/>
                      <w:sz w:val="18"/>
                      <w:szCs w:val="18"/>
                    </w:rPr>
                  </w:pPr>
                </w:p>
              </w:tc>
              <w:tc>
                <w:tcPr>
                  <w:tcW w:w="1145" w:type="dxa"/>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3</w:t>
                  </w:r>
                </w:p>
              </w:tc>
              <w:tc>
                <w:tcPr>
                  <w:tcW w:w="0" w:type="auto"/>
                  <w:vAlign w:val="center"/>
                </w:tcPr>
                <w:p>
                  <w:pPr>
                    <w:adjustRightInd w:val="0"/>
                    <w:snapToGrid w:val="0"/>
                    <w:jc w:val="center"/>
                    <w:rPr>
                      <w:rFonts w:ascii="Times New Roman" w:hAnsi="宋体" w:eastAsia="宋体" w:cs="Times New Roman"/>
                      <w:kern w:val="0"/>
                      <w:sz w:val="18"/>
                      <w:szCs w:val="18"/>
                    </w:rPr>
                  </w:pPr>
                  <w:r>
                    <w:rPr>
                      <w:rFonts w:ascii="Times New Roman" w:hAnsi="宋体" w:eastAsia="宋体" w:cs="Times New Roman"/>
                      <w:kern w:val="0"/>
                      <w:sz w:val="18"/>
                      <w:szCs w:val="18"/>
                    </w:rPr>
                    <w:t>甩干机</w:t>
                  </w:r>
                </w:p>
              </w:tc>
              <w:tc>
                <w:tcPr>
                  <w:tcW w:w="1062"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6.33</w:t>
                  </w:r>
                </w:p>
              </w:tc>
              <w:tc>
                <w:tcPr>
                  <w:tcW w:w="1134"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10.56</w:t>
                  </w:r>
                </w:p>
              </w:tc>
              <w:tc>
                <w:tcPr>
                  <w:tcW w:w="850"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w:t>
                  </w:r>
                </w:p>
              </w:tc>
              <w:tc>
                <w:tcPr>
                  <w:tcW w:w="1843"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80</w:t>
                  </w:r>
                </w:p>
              </w:tc>
              <w:tc>
                <w:tcPr>
                  <w:tcW w:w="1134" w:type="dxa"/>
                  <w:vMerge w:val="continue"/>
                  <w:vAlign w:val="center"/>
                </w:tcPr>
                <w:p>
                  <w:pPr>
                    <w:adjustRightInd w:val="0"/>
                    <w:snapToGrid w:val="0"/>
                    <w:jc w:val="center"/>
                    <w:rPr>
                      <w:rFonts w:ascii="Times New Roman" w:hAnsi="Times New Roman" w:eastAsia="宋体" w:cs="Times New Roman"/>
                      <w:sz w:val="18"/>
                      <w:szCs w:val="18"/>
                    </w:rPr>
                  </w:pPr>
                </w:p>
              </w:tc>
              <w:tc>
                <w:tcPr>
                  <w:tcW w:w="1145" w:type="dxa"/>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4</w:t>
                  </w:r>
                </w:p>
              </w:tc>
              <w:tc>
                <w:tcPr>
                  <w:tcW w:w="0" w:type="auto"/>
                  <w:vAlign w:val="center"/>
                </w:tcPr>
                <w:p>
                  <w:pPr>
                    <w:adjustRightInd w:val="0"/>
                    <w:snapToGrid w:val="0"/>
                    <w:jc w:val="center"/>
                    <w:rPr>
                      <w:rFonts w:ascii="Times New Roman" w:hAnsi="宋体" w:eastAsia="宋体" w:cs="Times New Roman"/>
                      <w:kern w:val="0"/>
                      <w:sz w:val="18"/>
                      <w:szCs w:val="18"/>
                    </w:rPr>
                  </w:pPr>
                  <w:r>
                    <w:rPr>
                      <w:rFonts w:ascii="Times New Roman" w:hAnsi="宋体" w:eastAsia="宋体" w:cs="Times New Roman"/>
                      <w:kern w:val="0"/>
                      <w:sz w:val="18"/>
                      <w:szCs w:val="18"/>
                    </w:rPr>
                    <w:t>甩干机</w:t>
                  </w:r>
                </w:p>
              </w:tc>
              <w:tc>
                <w:tcPr>
                  <w:tcW w:w="1062"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0.92</w:t>
                  </w:r>
                </w:p>
              </w:tc>
              <w:tc>
                <w:tcPr>
                  <w:tcW w:w="1134"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7.41</w:t>
                  </w:r>
                </w:p>
              </w:tc>
              <w:tc>
                <w:tcPr>
                  <w:tcW w:w="850"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w:t>
                  </w:r>
                </w:p>
              </w:tc>
              <w:tc>
                <w:tcPr>
                  <w:tcW w:w="1843"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80</w:t>
                  </w:r>
                </w:p>
              </w:tc>
              <w:tc>
                <w:tcPr>
                  <w:tcW w:w="1134" w:type="dxa"/>
                  <w:vMerge w:val="continue"/>
                  <w:vAlign w:val="center"/>
                </w:tcPr>
                <w:p>
                  <w:pPr>
                    <w:adjustRightInd w:val="0"/>
                    <w:snapToGrid w:val="0"/>
                    <w:jc w:val="center"/>
                    <w:rPr>
                      <w:rFonts w:ascii="Times New Roman" w:hAnsi="Times New Roman" w:eastAsia="宋体" w:cs="Times New Roman"/>
                      <w:sz w:val="18"/>
                      <w:szCs w:val="18"/>
                    </w:rPr>
                  </w:pPr>
                </w:p>
              </w:tc>
              <w:tc>
                <w:tcPr>
                  <w:tcW w:w="1145" w:type="dxa"/>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0" w:type="auto"/>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5</w:t>
                  </w:r>
                </w:p>
              </w:tc>
              <w:tc>
                <w:tcPr>
                  <w:tcW w:w="0" w:type="auto"/>
                  <w:vAlign w:val="center"/>
                </w:tcPr>
                <w:p>
                  <w:pPr>
                    <w:adjustRightInd w:val="0"/>
                    <w:snapToGrid w:val="0"/>
                    <w:jc w:val="center"/>
                    <w:rPr>
                      <w:rFonts w:ascii="Times New Roman" w:hAnsi="宋体" w:eastAsia="宋体" w:cs="Times New Roman"/>
                      <w:kern w:val="0"/>
                      <w:sz w:val="18"/>
                      <w:szCs w:val="18"/>
                    </w:rPr>
                  </w:pPr>
                  <w:r>
                    <w:rPr>
                      <w:rFonts w:ascii="Times New Roman" w:hAnsi="宋体" w:eastAsia="宋体" w:cs="Times New Roman"/>
                      <w:kern w:val="0"/>
                      <w:sz w:val="18"/>
                      <w:szCs w:val="18"/>
                    </w:rPr>
                    <w:t>粉碎机</w:t>
                  </w:r>
                </w:p>
              </w:tc>
              <w:tc>
                <w:tcPr>
                  <w:tcW w:w="1062"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3.06</w:t>
                  </w:r>
                </w:p>
              </w:tc>
              <w:tc>
                <w:tcPr>
                  <w:tcW w:w="1134"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2.9</w:t>
                  </w:r>
                </w:p>
              </w:tc>
              <w:tc>
                <w:tcPr>
                  <w:tcW w:w="850"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w:t>
                  </w:r>
                </w:p>
              </w:tc>
              <w:tc>
                <w:tcPr>
                  <w:tcW w:w="1843"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85</w:t>
                  </w:r>
                </w:p>
              </w:tc>
              <w:tc>
                <w:tcPr>
                  <w:tcW w:w="1134" w:type="dxa"/>
                  <w:vMerge w:val="continue"/>
                  <w:vAlign w:val="center"/>
                </w:tcPr>
                <w:p>
                  <w:pPr>
                    <w:adjustRightInd w:val="0"/>
                    <w:snapToGrid w:val="0"/>
                    <w:jc w:val="center"/>
                    <w:rPr>
                      <w:rFonts w:ascii="Times New Roman" w:hAnsi="Times New Roman" w:eastAsia="宋体" w:cs="Times New Roman"/>
                      <w:sz w:val="18"/>
                      <w:szCs w:val="18"/>
                    </w:rPr>
                  </w:pPr>
                </w:p>
              </w:tc>
              <w:tc>
                <w:tcPr>
                  <w:tcW w:w="1145" w:type="dxa"/>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6</w:t>
                  </w:r>
                </w:p>
              </w:tc>
              <w:tc>
                <w:tcPr>
                  <w:tcW w:w="0" w:type="auto"/>
                  <w:vAlign w:val="center"/>
                </w:tcPr>
                <w:p>
                  <w:pPr>
                    <w:adjustRightInd w:val="0"/>
                    <w:snapToGrid w:val="0"/>
                    <w:jc w:val="center"/>
                    <w:rPr>
                      <w:rFonts w:ascii="Times New Roman" w:hAnsi="宋体" w:eastAsia="宋体" w:cs="Times New Roman"/>
                      <w:kern w:val="0"/>
                      <w:sz w:val="18"/>
                      <w:szCs w:val="18"/>
                    </w:rPr>
                  </w:pPr>
                  <w:r>
                    <w:rPr>
                      <w:rFonts w:ascii="Times New Roman" w:hAnsi="宋体" w:eastAsia="宋体" w:cs="Times New Roman"/>
                      <w:kern w:val="0"/>
                      <w:sz w:val="18"/>
                      <w:szCs w:val="18"/>
                    </w:rPr>
                    <w:t>扒瓶机</w:t>
                  </w:r>
                </w:p>
              </w:tc>
              <w:tc>
                <w:tcPr>
                  <w:tcW w:w="1062"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3.4</w:t>
                  </w:r>
                </w:p>
              </w:tc>
              <w:tc>
                <w:tcPr>
                  <w:tcW w:w="1134"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-2.4</w:t>
                  </w:r>
                </w:p>
              </w:tc>
              <w:tc>
                <w:tcPr>
                  <w:tcW w:w="850"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w:t>
                  </w:r>
                </w:p>
              </w:tc>
              <w:tc>
                <w:tcPr>
                  <w:tcW w:w="1843"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75</w:t>
                  </w:r>
                </w:p>
              </w:tc>
              <w:tc>
                <w:tcPr>
                  <w:tcW w:w="1134" w:type="dxa"/>
                  <w:vMerge w:val="continue"/>
                  <w:vAlign w:val="center"/>
                </w:tcPr>
                <w:p>
                  <w:pPr>
                    <w:adjustRightInd w:val="0"/>
                    <w:snapToGrid w:val="0"/>
                    <w:jc w:val="center"/>
                    <w:rPr>
                      <w:rFonts w:ascii="Times New Roman" w:hAnsi="Times New Roman" w:eastAsia="宋体" w:cs="Times New Roman"/>
                      <w:sz w:val="18"/>
                      <w:szCs w:val="18"/>
                    </w:rPr>
                  </w:pPr>
                </w:p>
              </w:tc>
              <w:tc>
                <w:tcPr>
                  <w:tcW w:w="1145" w:type="dxa"/>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7</w:t>
                  </w:r>
                </w:p>
              </w:tc>
              <w:tc>
                <w:tcPr>
                  <w:tcW w:w="0" w:type="auto"/>
                  <w:vAlign w:val="center"/>
                </w:tcPr>
                <w:p>
                  <w:pPr>
                    <w:adjustRightInd w:val="0"/>
                    <w:snapToGrid w:val="0"/>
                    <w:jc w:val="center"/>
                    <w:rPr>
                      <w:rFonts w:ascii="Times New Roman" w:hAnsi="宋体" w:eastAsia="宋体" w:cs="Times New Roman"/>
                      <w:kern w:val="0"/>
                      <w:sz w:val="18"/>
                      <w:szCs w:val="18"/>
                    </w:rPr>
                  </w:pPr>
                  <w:r>
                    <w:rPr>
                      <w:rFonts w:ascii="Times New Roman" w:hAnsi="宋体" w:eastAsia="宋体" w:cs="Times New Roman"/>
                      <w:kern w:val="0"/>
                      <w:sz w:val="18"/>
                      <w:szCs w:val="18"/>
                    </w:rPr>
                    <w:t>拆包机</w:t>
                  </w:r>
                </w:p>
              </w:tc>
              <w:tc>
                <w:tcPr>
                  <w:tcW w:w="1062"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5.54</w:t>
                  </w:r>
                </w:p>
              </w:tc>
              <w:tc>
                <w:tcPr>
                  <w:tcW w:w="1134"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-5.89</w:t>
                  </w:r>
                </w:p>
              </w:tc>
              <w:tc>
                <w:tcPr>
                  <w:tcW w:w="850"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w:t>
                  </w:r>
                </w:p>
              </w:tc>
              <w:tc>
                <w:tcPr>
                  <w:tcW w:w="1843"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75</w:t>
                  </w:r>
                </w:p>
              </w:tc>
              <w:tc>
                <w:tcPr>
                  <w:tcW w:w="1134" w:type="dxa"/>
                  <w:vMerge w:val="continue"/>
                  <w:vAlign w:val="center"/>
                </w:tcPr>
                <w:p>
                  <w:pPr>
                    <w:adjustRightInd w:val="0"/>
                    <w:snapToGrid w:val="0"/>
                    <w:jc w:val="center"/>
                    <w:rPr>
                      <w:rFonts w:ascii="Times New Roman" w:hAnsi="Times New Roman" w:eastAsia="宋体" w:cs="Times New Roman"/>
                      <w:sz w:val="18"/>
                      <w:szCs w:val="18"/>
                    </w:rPr>
                  </w:pPr>
                </w:p>
              </w:tc>
              <w:tc>
                <w:tcPr>
                  <w:tcW w:w="1145" w:type="dxa"/>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8</w:t>
                  </w:r>
                </w:p>
              </w:tc>
              <w:tc>
                <w:tcPr>
                  <w:tcW w:w="0" w:type="auto"/>
                  <w:vAlign w:val="center"/>
                </w:tcPr>
                <w:p>
                  <w:pPr>
                    <w:adjustRightInd w:val="0"/>
                    <w:snapToGrid w:val="0"/>
                    <w:jc w:val="center"/>
                    <w:rPr>
                      <w:rFonts w:ascii="Times New Roman" w:hAnsi="宋体" w:eastAsia="宋体" w:cs="Times New Roman"/>
                      <w:kern w:val="0"/>
                      <w:sz w:val="18"/>
                      <w:szCs w:val="18"/>
                    </w:rPr>
                  </w:pPr>
                  <w:r>
                    <w:rPr>
                      <w:rFonts w:ascii="Times New Roman" w:hAnsi="宋体" w:eastAsia="宋体" w:cs="Times New Roman"/>
                      <w:kern w:val="0"/>
                      <w:sz w:val="18"/>
                      <w:szCs w:val="18"/>
                    </w:rPr>
                    <w:t>风选机</w:t>
                  </w:r>
                </w:p>
              </w:tc>
              <w:tc>
                <w:tcPr>
                  <w:tcW w:w="1062"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1.26</w:t>
                  </w:r>
                </w:p>
              </w:tc>
              <w:tc>
                <w:tcPr>
                  <w:tcW w:w="1134"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-2.4</w:t>
                  </w:r>
                </w:p>
              </w:tc>
              <w:tc>
                <w:tcPr>
                  <w:tcW w:w="850"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w:t>
                  </w:r>
                </w:p>
              </w:tc>
              <w:tc>
                <w:tcPr>
                  <w:tcW w:w="1843"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85</w:t>
                  </w:r>
                </w:p>
              </w:tc>
              <w:tc>
                <w:tcPr>
                  <w:tcW w:w="1134" w:type="dxa"/>
                  <w:vMerge w:val="continue"/>
                  <w:vAlign w:val="center"/>
                </w:tcPr>
                <w:p>
                  <w:pPr>
                    <w:adjustRightInd w:val="0"/>
                    <w:snapToGrid w:val="0"/>
                    <w:jc w:val="center"/>
                    <w:rPr>
                      <w:rFonts w:ascii="Times New Roman" w:hAnsi="Times New Roman" w:eastAsia="宋体" w:cs="Times New Roman"/>
                      <w:sz w:val="18"/>
                      <w:szCs w:val="18"/>
                    </w:rPr>
                  </w:pPr>
                </w:p>
              </w:tc>
              <w:tc>
                <w:tcPr>
                  <w:tcW w:w="1145" w:type="dxa"/>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0" w:type="auto"/>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9</w:t>
                  </w:r>
                </w:p>
              </w:tc>
              <w:tc>
                <w:tcPr>
                  <w:tcW w:w="0" w:type="auto"/>
                  <w:vAlign w:val="center"/>
                </w:tcPr>
                <w:p>
                  <w:pPr>
                    <w:adjustRightInd w:val="0"/>
                    <w:snapToGrid w:val="0"/>
                    <w:jc w:val="center"/>
                    <w:rPr>
                      <w:rFonts w:ascii="Times New Roman" w:hAnsi="宋体" w:eastAsia="宋体" w:cs="Times New Roman"/>
                      <w:kern w:val="0"/>
                      <w:sz w:val="18"/>
                      <w:szCs w:val="18"/>
                    </w:rPr>
                  </w:pPr>
                  <w:r>
                    <w:rPr>
                      <w:rFonts w:ascii="Times New Roman" w:hAnsi="宋体" w:eastAsia="宋体" w:cs="Times New Roman"/>
                      <w:kern w:val="0"/>
                      <w:sz w:val="18"/>
                      <w:szCs w:val="18"/>
                    </w:rPr>
                    <w:t>扒瓶机</w:t>
                  </w:r>
                </w:p>
              </w:tc>
              <w:tc>
                <w:tcPr>
                  <w:tcW w:w="1062"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-0.65</w:t>
                  </w:r>
                </w:p>
              </w:tc>
              <w:tc>
                <w:tcPr>
                  <w:tcW w:w="1134"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-4.88</w:t>
                  </w:r>
                </w:p>
              </w:tc>
              <w:tc>
                <w:tcPr>
                  <w:tcW w:w="850"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w:t>
                  </w:r>
                </w:p>
              </w:tc>
              <w:tc>
                <w:tcPr>
                  <w:tcW w:w="1843"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75</w:t>
                  </w:r>
                </w:p>
              </w:tc>
              <w:tc>
                <w:tcPr>
                  <w:tcW w:w="1134" w:type="dxa"/>
                  <w:vMerge w:val="continue"/>
                  <w:vAlign w:val="center"/>
                </w:tcPr>
                <w:p>
                  <w:pPr>
                    <w:adjustRightInd w:val="0"/>
                    <w:snapToGrid w:val="0"/>
                    <w:jc w:val="center"/>
                    <w:rPr>
                      <w:rFonts w:ascii="Times New Roman" w:hAnsi="Times New Roman" w:eastAsia="宋体" w:cs="Times New Roman"/>
                      <w:sz w:val="18"/>
                      <w:szCs w:val="18"/>
                    </w:rPr>
                  </w:pPr>
                </w:p>
              </w:tc>
              <w:tc>
                <w:tcPr>
                  <w:tcW w:w="1145" w:type="dxa"/>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10</w:t>
                  </w:r>
                </w:p>
              </w:tc>
              <w:tc>
                <w:tcPr>
                  <w:tcW w:w="0" w:type="auto"/>
                  <w:vAlign w:val="center"/>
                </w:tcPr>
                <w:p>
                  <w:pPr>
                    <w:adjustRightInd w:val="0"/>
                    <w:snapToGrid w:val="0"/>
                    <w:jc w:val="center"/>
                    <w:rPr>
                      <w:rFonts w:ascii="Times New Roman" w:hAnsi="宋体" w:eastAsia="宋体" w:cs="Times New Roman"/>
                      <w:kern w:val="0"/>
                      <w:sz w:val="18"/>
                      <w:szCs w:val="18"/>
                    </w:rPr>
                  </w:pPr>
                  <w:r>
                    <w:rPr>
                      <w:rFonts w:ascii="Times New Roman" w:hAnsi="宋体" w:eastAsia="宋体" w:cs="Times New Roman"/>
                      <w:kern w:val="0"/>
                      <w:sz w:val="18"/>
                      <w:szCs w:val="18"/>
                    </w:rPr>
                    <w:t>粉碎机</w:t>
                  </w:r>
                </w:p>
              </w:tc>
              <w:tc>
                <w:tcPr>
                  <w:tcW w:w="1062"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-5.05</w:t>
                  </w:r>
                </w:p>
              </w:tc>
              <w:tc>
                <w:tcPr>
                  <w:tcW w:w="1134"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-1.83</w:t>
                  </w:r>
                </w:p>
              </w:tc>
              <w:tc>
                <w:tcPr>
                  <w:tcW w:w="850"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w:t>
                  </w:r>
                </w:p>
              </w:tc>
              <w:tc>
                <w:tcPr>
                  <w:tcW w:w="1843"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85</w:t>
                  </w:r>
                </w:p>
              </w:tc>
              <w:tc>
                <w:tcPr>
                  <w:tcW w:w="1134" w:type="dxa"/>
                  <w:vMerge w:val="continue"/>
                  <w:vAlign w:val="center"/>
                </w:tcPr>
                <w:p>
                  <w:pPr>
                    <w:adjustRightInd w:val="0"/>
                    <w:snapToGrid w:val="0"/>
                    <w:jc w:val="center"/>
                    <w:rPr>
                      <w:rFonts w:ascii="Times New Roman" w:hAnsi="Times New Roman" w:eastAsia="宋体" w:cs="Times New Roman"/>
                      <w:sz w:val="18"/>
                      <w:szCs w:val="18"/>
                    </w:rPr>
                  </w:pPr>
                </w:p>
              </w:tc>
              <w:tc>
                <w:tcPr>
                  <w:tcW w:w="1145" w:type="dxa"/>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11</w:t>
                  </w:r>
                </w:p>
              </w:tc>
              <w:tc>
                <w:tcPr>
                  <w:tcW w:w="0" w:type="auto"/>
                  <w:vAlign w:val="center"/>
                </w:tcPr>
                <w:p>
                  <w:pPr>
                    <w:adjustRightInd w:val="0"/>
                    <w:snapToGrid w:val="0"/>
                    <w:jc w:val="center"/>
                    <w:rPr>
                      <w:rFonts w:ascii="Times New Roman" w:hAnsi="宋体" w:eastAsia="宋体" w:cs="Times New Roman"/>
                      <w:kern w:val="0"/>
                      <w:sz w:val="18"/>
                      <w:szCs w:val="18"/>
                    </w:rPr>
                  </w:pPr>
                  <w:r>
                    <w:rPr>
                      <w:rFonts w:ascii="Times New Roman" w:hAnsi="宋体" w:eastAsia="宋体" w:cs="Times New Roman"/>
                      <w:kern w:val="0"/>
                      <w:sz w:val="18"/>
                      <w:szCs w:val="18"/>
                    </w:rPr>
                    <w:t>甩干机</w:t>
                  </w:r>
                </w:p>
              </w:tc>
              <w:tc>
                <w:tcPr>
                  <w:tcW w:w="1062"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-7.53</w:t>
                  </w:r>
                </w:p>
              </w:tc>
              <w:tc>
                <w:tcPr>
                  <w:tcW w:w="1134"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2.67</w:t>
                  </w:r>
                </w:p>
              </w:tc>
              <w:tc>
                <w:tcPr>
                  <w:tcW w:w="850"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w:t>
                  </w:r>
                </w:p>
              </w:tc>
              <w:tc>
                <w:tcPr>
                  <w:tcW w:w="1843"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80</w:t>
                  </w:r>
                </w:p>
              </w:tc>
              <w:tc>
                <w:tcPr>
                  <w:tcW w:w="1134" w:type="dxa"/>
                  <w:vMerge w:val="continue"/>
                  <w:vAlign w:val="center"/>
                </w:tcPr>
                <w:p>
                  <w:pPr>
                    <w:adjustRightInd w:val="0"/>
                    <w:snapToGrid w:val="0"/>
                    <w:jc w:val="center"/>
                    <w:rPr>
                      <w:rFonts w:ascii="Times New Roman" w:hAnsi="Times New Roman" w:eastAsia="宋体" w:cs="Times New Roman"/>
                      <w:sz w:val="18"/>
                      <w:szCs w:val="18"/>
                    </w:rPr>
                  </w:pPr>
                </w:p>
              </w:tc>
              <w:tc>
                <w:tcPr>
                  <w:tcW w:w="1145" w:type="dxa"/>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12</w:t>
                  </w:r>
                </w:p>
              </w:tc>
              <w:tc>
                <w:tcPr>
                  <w:tcW w:w="0" w:type="auto"/>
                  <w:vAlign w:val="center"/>
                </w:tcPr>
                <w:p>
                  <w:pPr>
                    <w:adjustRightInd w:val="0"/>
                    <w:snapToGrid w:val="0"/>
                    <w:jc w:val="center"/>
                    <w:rPr>
                      <w:rFonts w:ascii="Times New Roman" w:hAnsi="宋体" w:eastAsia="宋体" w:cs="Times New Roman"/>
                      <w:kern w:val="0"/>
                      <w:sz w:val="18"/>
                      <w:szCs w:val="18"/>
                    </w:rPr>
                  </w:pPr>
                  <w:r>
                    <w:rPr>
                      <w:rFonts w:ascii="Times New Roman" w:hAnsi="宋体" w:eastAsia="宋体" w:cs="Times New Roman"/>
                      <w:kern w:val="0"/>
                      <w:sz w:val="18"/>
                      <w:szCs w:val="18"/>
                    </w:rPr>
                    <w:t>甩干机</w:t>
                  </w:r>
                </w:p>
              </w:tc>
              <w:tc>
                <w:tcPr>
                  <w:tcW w:w="1062"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-11.13</w:t>
                  </w:r>
                </w:p>
              </w:tc>
              <w:tc>
                <w:tcPr>
                  <w:tcW w:w="1134"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-0.03</w:t>
                  </w:r>
                </w:p>
              </w:tc>
              <w:tc>
                <w:tcPr>
                  <w:tcW w:w="850"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w:t>
                  </w:r>
                </w:p>
              </w:tc>
              <w:tc>
                <w:tcPr>
                  <w:tcW w:w="1843"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80</w:t>
                  </w:r>
                </w:p>
              </w:tc>
              <w:tc>
                <w:tcPr>
                  <w:tcW w:w="1134" w:type="dxa"/>
                  <w:vMerge w:val="continue"/>
                  <w:vAlign w:val="center"/>
                </w:tcPr>
                <w:p>
                  <w:pPr>
                    <w:adjustRightInd w:val="0"/>
                    <w:snapToGrid w:val="0"/>
                    <w:jc w:val="center"/>
                    <w:rPr>
                      <w:rFonts w:ascii="Times New Roman" w:hAnsi="Times New Roman" w:eastAsia="宋体" w:cs="Times New Roman"/>
                      <w:sz w:val="18"/>
                      <w:szCs w:val="18"/>
                    </w:rPr>
                  </w:pPr>
                </w:p>
              </w:tc>
              <w:tc>
                <w:tcPr>
                  <w:tcW w:w="1145" w:type="dxa"/>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0" w:type="auto"/>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13</w:t>
                  </w:r>
                </w:p>
              </w:tc>
              <w:tc>
                <w:tcPr>
                  <w:tcW w:w="0" w:type="auto"/>
                  <w:vAlign w:val="center"/>
                </w:tcPr>
                <w:p>
                  <w:pPr>
                    <w:adjustRightInd w:val="0"/>
                    <w:snapToGrid w:val="0"/>
                    <w:jc w:val="center"/>
                    <w:rPr>
                      <w:rFonts w:ascii="Times New Roman" w:hAnsi="宋体" w:eastAsia="宋体" w:cs="Times New Roman"/>
                      <w:kern w:val="0"/>
                      <w:sz w:val="18"/>
                      <w:szCs w:val="18"/>
                    </w:rPr>
                  </w:pPr>
                  <w:r>
                    <w:rPr>
                      <w:rFonts w:ascii="Times New Roman" w:hAnsi="宋体" w:eastAsia="宋体" w:cs="Times New Roman"/>
                      <w:kern w:val="0"/>
                      <w:sz w:val="18"/>
                      <w:szCs w:val="18"/>
                    </w:rPr>
                    <w:t>风选机</w:t>
                  </w:r>
                </w:p>
              </w:tc>
              <w:tc>
                <w:tcPr>
                  <w:tcW w:w="1062"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-13.61</w:t>
                  </w:r>
                </w:p>
              </w:tc>
              <w:tc>
                <w:tcPr>
                  <w:tcW w:w="1134"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-1.83</w:t>
                  </w:r>
                </w:p>
              </w:tc>
              <w:tc>
                <w:tcPr>
                  <w:tcW w:w="850"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w:t>
                  </w:r>
                </w:p>
              </w:tc>
              <w:tc>
                <w:tcPr>
                  <w:tcW w:w="1843"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85</w:t>
                  </w:r>
                </w:p>
              </w:tc>
              <w:tc>
                <w:tcPr>
                  <w:tcW w:w="1134" w:type="dxa"/>
                  <w:vMerge w:val="continue"/>
                  <w:vAlign w:val="center"/>
                </w:tcPr>
                <w:p>
                  <w:pPr>
                    <w:adjustRightInd w:val="0"/>
                    <w:snapToGrid w:val="0"/>
                    <w:jc w:val="center"/>
                    <w:rPr>
                      <w:rFonts w:ascii="Times New Roman" w:hAnsi="Times New Roman" w:eastAsia="宋体" w:cs="Times New Roman"/>
                      <w:sz w:val="18"/>
                      <w:szCs w:val="18"/>
                    </w:rPr>
                  </w:pPr>
                </w:p>
              </w:tc>
              <w:tc>
                <w:tcPr>
                  <w:tcW w:w="1145" w:type="dxa"/>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14</w:t>
                  </w:r>
                </w:p>
              </w:tc>
              <w:tc>
                <w:tcPr>
                  <w:tcW w:w="0" w:type="auto"/>
                  <w:vAlign w:val="center"/>
                </w:tcPr>
                <w:p>
                  <w:pPr>
                    <w:adjustRightInd w:val="0"/>
                    <w:snapToGrid w:val="0"/>
                    <w:jc w:val="center"/>
                    <w:rPr>
                      <w:rFonts w:ascii="Times New Roman" w:hAnsi="宋体" w:eastAsia="宋体" w:cs="Times New Roman"/>
                      <w:kern w:val="0"/>
                      <w:sz w:val="18"/>
                      <w:szCs w:val="18"/>
                    </w:rPr>
                  </w:pPr>
                  <w:r>
                    <w:rPr>
                      <w:rFonts w:ascii="Times New Roman" w:hAnsi="宋体" w:eastAsia="宋体" w:cs="Times New Roman"/>
                      <w:kern w:val="0"/>
                      <w:sz w:val="18"/>
                      <w:szCs w:val="18"/>
                    </w:rPr>
                    <w:t>打包机</w:t>
                  </w:r>
                </w:p>
              </w:tc>
              <w:tc>
                <w:tcPr>
                  <w:tcW w:w="1062"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-11.58</w:t>
                  </w:r>
                </w:p>
              </w:tc>
              <w:tc>
                <w:tcPr>
                  <w:tcW w:w="1134"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-6.23</w:t>
                  </w:r>
                </w:p>
              </w:tc>
              <w:tc>
                <w:tcPr>
                  <w:tcW w:w="850"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w:t>
                  </w:r>
                </w:p>
              </w:tc>
              <w:tc>
                <w:tcPr>
                  <w:tcW w:w="1843"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75</w:t>
                  </w:r>
                </w:p>
              </w:tc>
              <w:tc>
                <w:tcPr>
                  <w:tcW w:w="1134" w:type="dxa"/>
                  <w:vMerge w:val="continue"/>
                  <w:vAlign w:val="center"/>
                </w:tcPr>
                <w:p>
                  <w:pPr>
                    <w:adjustRightInd w:val="0"/>
                    <w:snapToGrid w:val="0"/>
                    <w:jc w:val="center"/>
                    <w:rPr>
                      <w:rFonts w:ascii="Times New Roman" w:hAnsi="Times New Roman" w:eastAsia="宋体" w:cs="Times New Roman"/>
                      <w:sz w:val="18"/>
                      <w:szCs w:val="18"/>
                    </w:rPr>
                  </w:pPr>
                </w:p>
              </w:tc>
              <w:tc>
                <w:tcPr>
                  <w:tcW w:w="1145" w:type="dxa"/>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15</w:t>
                  </w:r>
                </w:p>
              </w:tc>
              <w:tc>
                <w:tcPr>
                  <w:tcW w:w="0" w:type="auto"/>
                  <w:vAlign w:val="center"/>
                </w:tcPr>
                <w:p>
                  <w:pPr>
                    <w:adjustRightInd w:val="0"/>
                    <w:snapToGrid w:val="0"/>
                    <w:jc w:val="center"/>
                    <w:rPr>
                      <w:rFonts w:ascii="Times New Roman" w:hAnsi="宋体" w:eastAsia="宋体" w:cs="Times New Roman"/>
                      <w:kern w:val="0"/>
                      <w:sz w:val="18"/>
                      <w:szCs w:val="18"/>
                    </w:rPr>
                  </w:pPr>
                  <w:r>
                    <w:rPr>
                      <w:rFonts w:ascii="Times New Roman" w:hAnsi="宋体" w:eastAsia="宋体" w:cs="Times New Roman"/>
                      <w:kern w:val="0"/>
                      <w:sz w:val="18"/>
                      <w:szCs w:val="18"/>
                    </w:rPr>
                    <w:t>粉碎机</w:t>
                  </w:r>
                </w:p>
              </w:tc>
              <w:tc>
                <w:tcPr>
                  <w:tcW w:w="1062"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-16.43</w:t>
                  </w:r>
                </w:p>
              </w:tc>
              <w:tc>
                <w:tcPr>
                  <w:tcW w:w="1134"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-3.75</w:t>
                  </w:r>
                </w:p>
              </w:tc>
              <w:tc>
                <w:tcPr>
                  <w:tcW w:w="850"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w:t>
                  </w:r>
                </w:p>
              </w:tc>
              <w:tc>
                <w:tcPr>
                  <w:tcW w:w="1843"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85</w:t>
                  </w:r>
                </w:p>
              </w:tc>
              <w:tc>
                <w:tcPr>
                  <w:tcW w:w="1134" w:type="dxa"/>
                  <w:vMerge w:val="continue"/>
                  <w:vAlign w:val="center"/>
                </w:tcPr>
                <w:p>
                  <w:pPr>
                    <w:adjustRightInd w:val="0"/>
                    <w:snapToGrid w:val="0"/>
                    <w:jc w:val="center"/>
                    <w:rPr>
                      <w:rFonts w:ascii="Times New Roman" w:hAnsi="Times New Roman" w:eastAsia="宋体" w:cs="Times New Roman"/>
                      <w:sz w:val="18"/>
                      <w:szCs w:val="18"/>
                    </w:rPr>
                  </w:pPr>
                </w:p>
              </w:tc>
              <w:tc>
                <w:tcPr>
                  <w:tcW w:w="1145" w:type="dxa"/>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16</w:t>
                  </w:r>
                </w:p>
              </w:tc>
              <w:tc>
                <w:tcPr>
                  <w:tcW w:w="0" w:type="auto"/>
                  <w:vAlign w:val="center"/>
                </w:tcPr>
                <w:p>
                  <w:pPr>
                    <w:adjustRightInd w:val="0"/>
                    <w:snapToGrid w:val="0"/>
                    <w:jc w:val="center"/>
                    <w:rPr>
                      <w:rFonts w:ascii="Times New Roman" w:hAnsi="宋体" w:eastAsia="宋体" w:cs="Times New Roman"/>
                      <w:kern w:val="0"/>
                      <w:sz w:val="18"/>
                      <w:szCs w:val="18"/>
                    </w:rPr>
                  </w:pPr>
                  <w:r>
                    <w:rPr>
                      <w:rFonts w:ascii="Times New Roman" w:hAnsi="宋体" w:eastAsia="宋体" w:cs="Times New Roman"/>
                      <w:kern w:val="0"/>
                      <w:sz w:val="18"/>
                      <w:szCs w:val="18"/>
                    </w:rPr>
                    <w:t>甩干机</w:t>
                  </w:r>
                </w:p>
              </w:tc>
              <w:tc>
                <w:tcPr>
                  <w:tcW w:w="1062"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-20.71</w:t>
                  </w:r>
                </w:p>
              </w:tc>
              <w:tc>
                <w:tcPr>
                  <w:tcW w:w="1134"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-6</w:t>
                  </w:r>
                </w:p>
              </w:tc>
              <w:tc>
                <w:tcPr>
                  <w:tcW w:w="850"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w:t>
                  </w:r>
                </w:p>
              </w:tc>
              <w:tc>
                <w:tcPr>
                  <w:tcW w:w="1843"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80</w:t>
                  </w:r>
                </w:p>
              </w:tc>
              <w:tc>
                <w:tcPr>
                  <w:tcW w:w="1134" w:type="dxa"/>
                  <w:vMerge w:val="continue"/>
                  <w:vAlign w:val="center"/>
                </w:tcPr>
                <w:p>
                  <w:pPr>
                    <w:adjustRightInd w:val="0"/>
                    <w:snapToGrid w:val="0"/>
                    <w:jc w:val="center"/>
                    <w:rPr>
                      <w:rFonts w:ascii="Times New Roman" w:hAnsi="Times New Roman" w:eastAsia="宋体" w:cs="Times New Roman"/>
                      <w:sz w:val="18"/>
                      <w:szCs w:val="18"/>
                    </w:rPr>
                  </w:pPr>
                </w:p>
              </w:tc>
              <w:tc>
                <w:tcPr>
                  <w:tcW w:w="1145" w:type="dxa"/>
                  <w:vMerge w:val="continue"/>
                  <w:vAlign w:val="center"/>
                </w:tcPr>
                <w:p>
                  <w:pPr>
                    <w:adjustRightInd w:val="0"/>
                    <w:snapToGrid w:val="0"/>
                    <w:spacing w:before="120" w:beforeLines="50"/>
                    <w:jc w:val="center"/>
                    <w:rPr>
                      <w:rFonts w:ascii="Times New Roman" w:hAnsi="Times New Roman" w:eastAsia="宋体"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0" w:type="auto"/>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17</w:t>
                  </w:r>
                </w:p>
              </w:tc>
              <w:tc>
                <w:tcPr>
                  <w:tcW w:w="0" w:type="auto"/>
                  <w:vAlign w:val="center"/>
                </w:tcPr>
                <w:p>
                  <w:pPr>
                    <w:adjustRightInd w:val="0"/>
                    <w:snapToGrid w:val="0"/>
                    <w:jc w:val="center"/>
                    <w:rPr>
                      <w:rFonts w:ascii="Times New Roman" w:hAnsi="宋体" w:eastAsia="宋体" w:cs="Times New Roman"/>
                      <w:kern w:val="0"/>
                      <w:sz w:val="18"/>
                      <w:szCs w:val="18"/>
                    </w:rPr>
                  </w:pPr>
                  <w:r>
                    <w:rPr>
                      <w:rFonts w:ascii="Times New Roman" w:hAnsi="宋体" w:eastAsia="宋体" w:cs="Times New Roman"/>
                      <w:kern w:val="0"/>
                      <w:sz w:val="18"/>
                      <w:szCs w:val="18"/>
                    </w:rPr>
                    <w:t>水泵</w:t>
                  </w:r>
                </w:p>
              </w:tc>
              <w:tc>
                <w:tcPr>
                  <w:tcW w:w="1062"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14.76</w:t>
                  </w:r>
                </w:p>
              </w:tc>
              <w:tc>
                <w:tcPr>
                  <w:tcW w:w="1134"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11.39</w:t>
                  </w:r>
                </w:p>
              </w:tc>
              <w:tc>
                <w:tcPr>
                  <w:tcW w:w="850"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w:t>
                  </w:r>
                </w:p>
              </w:tc>
              <w:tc>
                <w:tcPr>
                  <w:tcW w:w="1843"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75</w:t>
                  </w:r>
                </w:p>
              </w:tc>
              <w:tc>
                <w:tcPr>
                  <w:tcW w:w="1134" w:type="dxa"/>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减震基础</w:t>
                  </w:r>
                </w:p>
              </w:tc>
              <w:tc>
                <w:tcPr>
                  <w:tcW w:w="1145" w:type="dxa"/>
                  <w:vAlign w:val="center"/>
                </w:tcPr>
                <w:p>
                  <w:pPr>
                    <w:adjustRightInd w:val="0"/>
                    <w:snapToGrid w:val="0"/>
                    <w:spacing w:before="120" w:beforeLines="5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10</w:t>
                  </w:r>
                </w:p>
              </w:tc>
            </w:tr>
          </w:tbl>
          <w:p>
            <w:pPr>
              <w:adjustRightInd w:val="0"/>
              <w:snapToGrid w:val="0"/>
              <w:spacing w:before="120" w:beforeLines="50"/>
              <w:jc w:val="center"/>
              <w:rPr>
                <w:rFonts w:ascii="Times New Roman" w:hAnsi="Times New Roman" w:eastAsia="宋体" w:cs="Times New Roman"/>
                <w:b/>
                <w:szCs w:val="24"/>
              </w:rPr>
            </w:pPr>
            <w:r>
              <w:rPr>
                <w:rFonts w:hint="eastAsia" w:ascii="Times New Roman" w:hAnsi="Times New Roman" w:eastAsia="宋体" w:cs="Times New Roman"/>
                <w:b/>
                <w:szCs w:val="24"/>
              </w:rPr>
              <w:t>表23 声环境保护目标调查表</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6"/>
              <w:gridCol w:w="1826"/>
              <w:gridCol w:w="759"/>
              <w:gridCol w:w="522"/>
              <w:gridCol w:w="479"/>
              <w:gridCol w:w="1318"/>
              <w:gridCol w:w="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5" w:hRule="atLeast"/>
              </w:trPr>
              <w:tc>
                <w:tcPr>
                  <w:tcW w:w="682" w:type="dxa"/>
                  <w:vMerge w:val="restart"/>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序号</w:t>
                  </w:r>
                </w:p>
              </w:tc>
              <w:tc>
                <w:tcPr>
                  <w:tcW w:w="1984" w:type="dxa"/>
                  <w:vMerge w:val="restart"/>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声环境保护目标名称</w:t>
                  </w:r>
                </w:p>
              </w:tc>
              <w:tc>
                <w:tcPr>
                  <w:tcW w:w="1418" w:type="dxa"/>
                  <w:gridSpan w:val="3"/>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空间相对位置</w:t>
                  </w:r>
                </w:p>
              </w:tc>
              <w:tc>
                <w:tcPr>
                  <w:tcW w:w="1417" w:type="dxa"/>
                  <w:vMerge w:val="restart"/>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距厂界最近距离/m</w:t>
                  </w:r>
                </w:p>
              </w:tc>
              <w:tc>
                <w:tcPr>
                  <w:tcW w:w="567" w:type="dxa"/>
                  <w:vMerge w:val="restart"/>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方位</w:t>
                  </w:r>
                </w:p>
              </w:tc>
              <w:tc>
                <w:tcPr>
                  <w:tcW w:w="2421" w:type="dxa"/>
                  <w:vMerge w:val="restart"/>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执行标准/功能区类别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682" w:type="dxa"/>
                  <w:vMerge w:val="continue"/>
                  <w:vAlign w:val="center"/>
                </w:tcPr>
                <w:p>
                  <w:pPr>
                    <w:adjustRightInd w:val="0"/>
                    <w:snapToGrid w:val="0"/>
                    <w:spacing w:before="120" w:beforeLines="50"/>
                    <w:jc w:val="center"/>
                    <w:rPr>
                      <w:rFonts w:ascii="Times New Roman" w:hAnsi="Times New Roman" w:eastAsia="宋体" w:cs="Times New Roman"/>
                      <w:szCs w:val="24"/>
                    </w:rPr>
                  </w:pPr>
                </w:p>
              </w:tc>
              <w:tc>
                <w:tcPr>
                  <w:tcW w:w="1984" w:type="dxa"/>
                  <w:vMerge w:val="continue"/>
                  <w:vAlign w:val="center"/>
                </w:tcPr>
                <w:p>
                  <w:pPr>
                    <w:adjustRightInd w:val="0"/>
                    <w:snapToGrid w:val="0"/>
                    <w:spacing w:before="120" w:beforeLines="50"/>
                    <w:jc w:val="center"/>
                    <w:rPr>
                      <w:rFonts w:ascii="Times New Roman" w:hAnsi="Times New Roman" w:eastAsia="宋体" w:cs="Times New Roman"/>
                      <w:szCs w:val="24"/>
                    </w:rPr>
                  </w:pPr>
                </w:p>
              </w:tc>
              <w:tc>
                <w:tcPr>
                  <w:tcW w:w="465" w:type="dxa"/>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X</w:t>
                  </w:r>
                </w:p>
              </w:tc>
              <w:tc>
                <w:tcPr>
                  <w:tcW w:w="525" w:type="dxa"/>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Y</w:t>
                  </w:r>
                </w:p>
              </w:tc>
              <w:tc>
                <w:tcPr>
                  <w:tcW w:w="428" w:type="dxa"/>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Z</w:t>
                  </w:r>
                </w:p>
              </w:tc>
              <w:tc>
                <w:tcPr>
                  <w:tcW w:w="1417" w:type="dxa"/>
                  <w:vMerge w:val="continue"/>
                  <w:vAlign w:val="center"/>
                </w:tcPr>
                <w:p>
                  <w:pPr>
                    <w:adjustRightInd w:val="0"/>
                    <w:snapToGrid w:val="0"/>
                    <w:spacing w:before="120" w:beforeLines="50"/>
                    <w:jc w:val="center"/>
                    <w:rPr>
                      <w:rFonts w:ascii="Times New Roman" w:hAnsi="Times New Roman" w:eastAsia="宋体" w:cs="Times New Roman"/>
                      <w:szCs w:val="24"/>
                    </w:rPr>
                  </w:pPr>
                </w:p>
              </w:tc>
              <w:tc>
                <w:tcPr>
                  <w:tcW w:w="567" w:type="dxa"/>
                  <w:vMerge w:val="continue"/>
                  <w:vAlign w:val="center"/>
                </w:tcPr>
                <w:p>
                  <w:pPr>
                    <w:adjustRightInd w:val="0"/>
                    <w:snapToGrid w:val="0"/>
                    <w:spacing w:before="120" w:beforeLines="50"/>
                    <w:jc w:val="center"/>
                    <w:rPr>
                      <w:rFonts w:ascii="Times New Roman" w:hAnsi="Times New Roman" w:eastAsia="宋体" w:cs="Times New Roman"/>
                      <w:szCs w:val="24"/>
                    </w:rPr>
                  </w:pPr>
                </w:p>
              </w:tc>
              <w:tc>
                <w:tcPr>
                  <w:tcW w:w="2421" w:type="dxa"/>
                  <w:vMerge w:val="continue"/>
                  <w:vAlign w:val="center"/>
                </w:tcPr>
                <w:p>
                  <w:pPr>
                    <w:adjustRightInd w:val="0"/>
                    <w:snapToGrid w:val="0"/>
                    <w:spacing w:before="120" w:beforeLines="50"/>
                    <w:jc w:val="center"/>
                    <w:rPr>
                      <w:rFonts w:ascii="Times New Roman" w:hAnsi="Times New Roman" w:eastAsia="宋体" w:cs="Times New Roman"/>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2" w:type="dxa"/>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1</w:t>
                  </w:r>
                </w:p>
              </w:tc>
              <w:tc>
                <w:tcPr>
                  <w:tcW w:w="1984" w:type="dxa"/>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天成化工宿舍</w:t>
                  </w:r>
                </w:p>
              </w:tc>
              <w:tc>
                <w:tcPr>
                  <w:tcW w:w="465" w:type="dxa"/>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-27.34</w:t>
                  </w:r>
                </w:p>
              </w:tc>
              <w:tc>
                <w:tcPr>
                  <w:tcW w:w="525" w:type="dxa"/>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-38</w:t>
                  </w:r>
                </w:p>
              </w:tc>
              <w:tc>
                <w:tcPr>
                  <w:tcW w:w="428" w:type="dxa"/>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1.2</w:t>
                  </w:r>
                </w:p>
              </w:tc>
              <w:tc>
                <w:tcPr>
                  <w:tcW w:w="1417" w:type="dxa"/>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16</w:t>
                  </w:r>
                </w:p>
              </w:tc>
              <w:tc>
                <w:tcPr>
                  <w:tcW w:w="567" w:type="dxa"/>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W</w:t>
                  </w:r>
                </w:p>
              </w:tc>
              <w:tc>
                <w:tcPr>
                  <w:tcW w:w="2421" w:type="dxa"/>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《声环境质量标准》（GB3096—2008）中1类标准</w:t>
                  </w:r>
                </w:p>
              </w:tc>
            </w:tr>
          </w:tbl>
          <w:p>
            <w:pPr>
              <w:adjustRightInd w:val="0"/>
              <w:snapToGrid w:val="0"/>
              <w:spacing w:before="120" w:beforeLines="50"/>
              <w:jc w:val="center"/>
              <w:rPr>
                <w:rFonts w:hint="eastAsia" w:ascii="Times New Roman" w:hAnsi="Times New Roman" w:eastAsia="宋体" w:cs="Times New Roman"/>
                <w:b/>
                <w:szCs w:val="24"/>
              </w:rPr>
            </w:pPr>
          </w:p>
          <w:p>
            <w:pPr>
              <w:adjustRightInd w:val="0"/>
              <w:snapToGrid w:val="0"/>
              <w:spacing w:before="120" w:beforeLines="50"/>
              <w:jc w:val="center"/>
              <w:rPr>
                <w:rFonts w:ascii="Times New Roman" w:hAnsi="Times New Roman" w:eastAsia="宋体" w:cs="Times New Roman"/>
                <w:b/>
                <w:szCs w:val="24"/>
              </w:rPr>
            </w:pPr>
            <w:r>
              <w:rPr>
                <w:rFonts w:hint="eastAsia" w:ascii="Times New Roman" w:hAnsi="Times New Roman" w:eastAsia="宋体" w:cs="Times New Roman"/>
                <w:b/>
                <w:szCs w:val="24"/>
              </w:rPr>
              <w:t>表24 声传播途径分析一览表</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4"/>
              <w:gridCol w:w="1285"/>
              <w:gridCol w:w="518"/>
              <w:gridCol w:w="518"/>
              <w:gridCol w:w="518"/>
              <w:gridCol w:w="518"/>
              <w:gridCol w:w="1798"/>
              <w:gridCol w:w="25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6" w:type="pct"/>
                  <w:vMerge w:val="restart"/>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序号</w:t>
                  </w:r>
                </w:p>
              </w:tc>
              <w:tc>
                <w:tcPr>
                  <w:tcW w:w="757" w:type="pct"/>
                  <w:vMerge w:val="restart"/>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生产车间</w:t>
                  </w:r>
                </w:p>
              </w:tc>
              <w:tc>
                <w:tcPr>
                  <w:tcW w:w="2279" w:type="pct"/>
                  <w:gridSpan w:val="5"/>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与厂界及敏感点距离（m）</w:t>
                  </w:r>
                </w:p>
              </w:tc>
              <w:tc>
                <w:tcPr>
                  <w:tcW w:w="1509" w:type="pct"/>
                  <w:vMerge w:val="restart"/>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传播途径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6" w:type="pct"/>
                  <w:vMerge w:val="continue"/>
                  <w:vAlign w:val="center"/>
                </w:tcPr>
                <w:p>
                  <w:pPr>
                    <w:adjustRightInd w:val="0"/>
                    <w:snapToGrid w:val="0"/>
                    <w:spacing w:before="120" w:beforeLines="50"/>
                    <w:jc w:val="center"/>
                    <w:rPr>
                      <w:rFonts w:ascii="Times New Roman" w:hAnsi="Times New Roman" w:eastAsia="宋体" w:cs="Times New Roman"/>
                      <w:szCs w:val="24"/>
                    </w:rPr>
                  </w:pPr>
                </w:p>
              </w:tc>
              <w:tc>
                <w:tcPr>
                  <w:tcW w:w="757" w:type="pct"/>
                  <w:vMerge w:val="continue"/>
                  <w:vAlign w:val="center"/>
                </w:tcPr>
                <w:p>
                  <w:pPr>
                    <w:adjustRightInd w:val="0"/>
                    <w:snapToGrid w:val="0"/>
                    <w:spacing w:before="120" w:beforeLines="50"/>
                    <w:jc w:val="center"/>
                    <w:rPr>
                      <w:rFonts w:ascii="Times New Roman" w:hAnsi="Times New Roman" w:eastAsia="宋体" w:cs="Times New Roman"/>
                      <w:szCs w:val="24"/>
                    </w:rPr>
                  </w:pPr>
                </w:p>
              </w:tc>
              <w:tc>
                <w:tcPr>
                  <w:tcW w:w="305" w:type="pct"/>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东</w:t>
                  </w:r>
                </w:p>
              </w:tc>
              <w:tc>
                <w:tcPr>
                  <w:tcW w:w="305" w:type="pct"/>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南</w:t>
                  </w:r>
                </w:p>
              </w:tc>
              <w:tc>
                <w:tcPr>
                  <w:tcW w:w="305" w:type="pct"/>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西</w:t>
                  </w:r>
                </w:p>
              </w:tc>
              <w:tc>
                <w:tcPr>
                  <w:tcW w:w="305" w:type="pct"/>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北</w:t>
                  </w:r>
                </w:p>
              </w:tc>
              <w:tc>
                <w:tcPr>
                  <w:tcW w:w="1058" w:type="pct"/>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天成化工宿舍</w:t>
                  </w:r>
                </w:p>
              </w:tc>
              <w:tc>
                <w:tcPr>
                  <w:tcW w:w="1509" w:type="pct"/>
                  <w:vMerge w:val="continue"/>
                  <w:vAlign w:val="center"/>
                </w:tcPr>
                <w:p>
                  <w:pPr>
                    <w:adjustRightInd w:val="0"/>
                    <w:snapToGrid w:val="0"/>
                    <w:spacing w:before="120" w:beforeLines="50"/>
                    <w:jc w:val="center"/>
                    <w:rPr>
                      <w:rFonts w:ascii="Times New Roman" w:hAnsi="Times New Roman" w:eastAsia="宋体" w:cs="Times New Roman"/>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6" w:type="pct"/>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1</w:t>
                  </w:r>
                </w:p>
              </w:tc>
              <w:tc>
                <w:tcPr>
                  <w:tcW w:w="757" w:type="pct"/>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生产车间</w:t>
                  </w:r>
                </w:p>
              </w:tc>
              <w:tc>
                <w:tcPr>
                  <w:tcW w:w="305" w:type="pct"/>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5</w:t>
                  </w:r>
                </w:p>
              </w:tc>
              <w:tc>
                <w:tcPr>
                  <w:tcW w:w="305" w:type="pct"/>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30</w:t>
                  </w:r>
                </w:p>
              </w:tc>
              <w:tc>
                <w:tcPr>
                  <w:tcW w:w="305" w:type="pct"/>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6</w:t>
                  </w:r>
                </w:p>
              </w:tc>
              <w:tc>
                <w:tcPr>
                  <w:tcW w:w="305" w:type="pct"/>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5</w:t>
                  </w:r>
                </w:p>
              </w:tc>
              <w:tc>
                <w:tcPr>
                  <w:tcW w:w="1058" w:type="pct"/>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22</w:t>
                  </w:r>
                </w:p>
              </w:tc>
              <w:tc>
                <w:tcPr>
                  <w:tcW w:w="1509" w:type="pct"/>
                  <w:vAlign w:val="center"/>
                </w:tcPr>
                <w:p>
                  <w:pPr>
                    <w:adjustRightInd w:val="0"/>
                    <w:snapToGrid w:val="0"/>
                    <w:spacing w:before="120" w:beforeLines="50"/>
                    <w:jc w:val="center"/>
                    <w:rPr>
                      <w:rFonts w:ascii="Times New Roman" w:hAnsi="Times New Roman" w:eastAsia="宋体" w:cs="Times New Roman"/>
                      <w:szCs w:val="24"/>
                    </w:rPr>
                  </w:pPr>
                  <w:r>
                    <w:rPr>
                      <w:rFonts w:hint="eastAsia" w:ascii="Times New Roman" w:hAnsi="Times New Roman" w:eastAsia="宋体" w:cs="Times New Roman"/>
                      <w:szCs w:val="24"/>
                    </w:rPr>
                    <w:t>厂房、厂界围墙相隔</w:t>
                  </w:r>
                </w:p>
              </w:tc>
            </w:tr>
          </w:tbl>
          <w:p>
            <w:pPr>
              <w:adjustRightInd w:val="0"/>
              <w:snapToGrid w:val="0"/>
              <w:spacing w:before="120" w:beforeLines="50"/>
              <w:jc w:val="center"/>
              <w:rPr>
                <w:rFonts w:ascii="Times New Roman" w:hAnsi="Times New Roman" w:eastAsia="宋体" w:cs="Times New Roman"/>
                <w:b/>
                <w:szCs w:val="24"/>
              </w:rPr>
            </w:pPr>
            <w:r>
              <w:rPr>
                <w:rFonts w:hint="eastAsia" w:ascii="Times New Roman" w:hAnsi="Times New Roman" w:eastAsia="宋体" w:cs="Times New Roman"/>
                <w:b/>
                <w:szCs w:val="24"/>
              </w:rPr>
              <w:t>表25 厂界噪声预测结果一览表</w:t>
            </w:r>
          </w:p>
          <w:tbl>
            <w:tblPr>
              <w:tblStyle w:val="18"/>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018"/>
              <w:gridCol w:w="1749"/>
              <w:gridCol w:w="1666"/>
              <w:gridCol w:w="1211"/>
              <w:gridCol w:w="1219"/>
              <w:gridCol w:w="823"/>
              <w:gridCol w:w="80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7" w:hRule="atLeast"/>
                <w:jc w:val="center"/>
              </w:trPr>
              <w:tc>
                <w:tcPr>
                  <w:tcW w:w="600" w:type="pct"/>
                  <w:vMerge w:val="restart"/>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预测点</w:t>
                  </w:r>
                </w:p>
              </w:tc>
              <w:tc>
                <w:tcPr>
                  <w:tcW w:w="2010" w:type="pct"/>
                  <w:gridSpan w:val="2"/>
                  <w:tcBorders>
                    <w:top w:val="single" w:color="auto" w:sz="4" w:space="0"/>
                    <w:bottom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噪声标准</w:t>
                  </w:r>
                  <w:r>
                    <w:rPr>
                      <w:rFonts w:hint="eastAsia" w:ascii="Times New Roman" w:hAnsi="Times New Roman" w:eastAsia="宋体" w:cs="Times New Roman"/>
                      <w:sz w:val="18"/>
                      <w:szCs w:val="18"/>
                    </w:rPr>
                    <w:t>dB（A）</w:t>
                  </w:r>
                </w:p>
              </w:tc>
              <w:tc>
                <w:tcPr>
                  <w:tcW w:w="1431" w:type="pct"/>
                  <w:gridSpan w:val="2"/>
                  <w:tcBorders>
                    <w:bottom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噪声贡献值</w:t>
                  </w:r>
                  <w:r>
                    <w:rPr>
                      <w:rFonts w:hint="eastAsia" w:ascii="Times New Roman" w:hAnsi="Times New Roman" w:eastAsia="宋体" w:cs="Times New Roman"/>
                      <w:sz w:val="18"/>
                      <w:szCs w:val="18"/>
                    </w:rPr>
                    <w:t>dB（A）</w:t>
                  </w:r>
                </w:p>
              </w:tc>
              <w:tc>
                <w:tcPr>
                  <w:tcW w:w="959" w:type="pct"/>
                  <w:gridSpan w:val="2"/>
                  <w:tcBorders>
                    <w:bottom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超标和达标情况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6" w:hRule="atLeast"/>
                <w:jc w:val="center"/>
              </w:trPr>
              <w:tc>
                <w:tcPr>
                  <w:tcW w:w="600" w:type="pct"/>
                  <w:vMerge w:val="continue"/>
                  <w:vAlign w:val="center"/>
                </w:tcPr>
                <w:p>
                  <w:pPr>
                    <w:adjustRightInd w:val="0"/>
                    <w:snapToGrid w:val="0"/>
                    <w:jc w:val="center"/>
                    <w:rPr>
                      <w:rFonts w:ascii="Times New Roman" w:hAnsi="Times New Roman" w:eastAsia="宋体" w:cs="Times New Roman"/>
                      <w:sz w:val="18"/>
                      <w:szCs w:val="18"/>
                    </w:rPr>
                  </w:pPr>
                </w:p>
              </w:tc>
              <w:tc>
                <w:tcPr>
                  <w:tcW w:w="1030" w:type="pct"/>
                  <w:tcBorders>
                    <w:top w:val="single" w:color="auto" w:sz="4" w:space="0"/>
                    <w:right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宋体" w:eastAsia="宋体" w:cs="Times New Roman"/>
                      <w:kern w:val="0"/>
                      <w:sz w:val="18"/>
                      <w:szCs w:val="18"/>
                    </w:rPr>
                    <w:t>昼间</w:t>
                  </w:r>
                </w:p>
              </w:tc>
              <w:tc>
                <w:tcPr>
                  <w:tcW w:w="981" w:type="pct"/>
                  <w:tcBorders>
                    <w:top w:val="single" w:color="auto" w:sz="4" w:space="0"/>
                    <w:left w:val="single" w:color="auto" w:sz="4" w:space="0"/>
                  </w:tcBorders>
                  <w:vAlign w:val="center"/>
                </w:tcPr>
                <w:p>
                  <w:pPr>
                    <w:adjustRightInd w:val="0"/>
                    <w:snapToGrid w:val="0"/>
                    <w:jc w:val="center"/>
                    <w:rPr>
                      <w:rFonts w:ascii="Times New Roman" w:hAnsi="Times New Roman" w:eastAsia="宋体" w:cs="Times New Roman"/>
                      <w:sz w:val="18"/>
                      <w:szCs w:val="18"/>
                    </w:rPr>
                  </w:pPr>
                  <w:r>
                    <w:rPr>
                      <w:rFonts w:hint="eastAsia" w:ascii="Times New Roman" w:hAnsi="宋体" w:eastAsia="宋体" w:cs="Times New Roman"/>
                      <w:kern w:val="0"/>
                      <w:sz w:val="18"/>
                      <w:szCs w:val="18"/>
                    </w:rPr>
                    <w:t>夜间</w:t>
                  </w:r>
                </w:p>
              </w:tc>
              <w:tc>
                <w:tcPr>
                  <w:tcW w:w="713" w:type="pct"/>
                  <w:tcBorders>
                    <w:top w:val="single" w:color="auto" w:sz="4" w:space="0"/>
                    <w:right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宋体" w:eastAsia="宋体" w:cs="Times New Roman"/>
                      <w:kern w:val="0"/>
                      <w:sz w:val="18"/>
                      <w:szCs w:val="18"/>
                    </w:rPr>
                    <w:t>昼间</w:t>
                  </w:r>
                </w:p>
              </w:tc>
              <w:tc>
                <w:tcPr>
                  <w:tcW w:w="717" w:type="pct"/>
                  <w:tcBorders>
                    <w:top w:val="single" w:color="auto" w:sz="4" w:space="0"/>
                    <w:left w:val="single" w:color="auto" w:sz="4" w:space="0"/>
                  </w:tcBorders>
                  <w:vAlign w:val="center"/>
                </w:tcPr>
                <w:p>
                  <w:pPr>
                    <w:adjustRightInd w:val="0"/>
                    <w:snapToGrid w:val="0"/>
                    <w:jc w:val="center"/>
                    <w:rPr>
                      <w:rFonts w:ascii="Times New Roman" w:hAnsi="Times New Roman" w:eastAsia="宋体" w:cs="Times New Roman"/>
                      <w:sz w:val="18"/>
                      <w:szCs w:val="18"/>
                    </w:rPr>
                  </w:pPr>
                  <w:r>
                    <w:rPr>
                      <w:rFonts w:hint="eastAsia" w:ascii="Times New Roman" w:hAnsi="宋体" w:eastAsia="宋体" w:cs="Times New Roman"/>
                      <w:kern w:val="0"/>
                      <w:sz w:val="18"/>
                      <w:szCs w:val="18"/>
                    </w:rPr>
                    <w:t>夜间</w:t>
                  </w:r>
                </w:p>
              </w:tc>
              <w:tc>
                <w:tcPr>
                  <w:tcW w:w="485" w:type="pct"/>
                  <w:tcBorders>
                    <w:top w:val="single" w:color="auto" w:sz="4" w:space="0"/>
                    <w:right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宋体" w:eastAsia="宋体" w:cs="Times New Roman"/>
                      <w:kern w:val="0"/>
                      <w:sz w:val="18"/>
                      <w:szCs w:val="18"/>
                    </w:rPr>
                    <w:t>昼间</w:t>
                  </w:r>
                </w:p>
              </w:tc>
              <w:tc>
                <w:tcPr>
                  <w:tcW w:w="474" w:type="pct"/>
                  <w:tcBorders>
                    <w:top w:val="single" w:color="auto" w:sz="4" w:space="0"/>
                    <w:left w:val="single" w:color="auto" w:sz="4" w:space="0"/>
                  </w:tcBorders>
                  <w:vAlign w:val="center"/>
                </w:tcPr>
                <w:p>
                  <w:pPr>
                    <w:adjustRightInd w:val="0"/>
                    <w:snapToGrid w:val="0"/>
                    <w:jc w:val="center"/>
                    <w:rPr>
                      <w:rFonts w:ascii="Times New Roman" w:hAnsi="Times New Roman" w:eastAsia="宋体" w:cs="Times New Roman"/>
                      <w:sz w:val="18"/>
                      <w:szCs w:val="18"/>
                    </w:rPr>
                  </w:pPr>
                  <w:r>
                    <w:rPr>
                      <w:rFonts w:hint="eastAsia" w:ascii="Times New Roman" w:hAnsi="宋体" w:eastAsia="宋体" w:cs="Times New Roman"/>
                      <w:kern w:val="0"/>
                      <w:sz w:val="18"/>
                      <w:szCs w:val="18"/>
                    </w:rPr>
                    <w:t>夜间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600" w:type="pct"/>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东厂界</w:t>
                  </w:r>
                </w:p>
              </w:tc>
              <w:tc>
                <w:tcPr>
                  <w:tcW w:w="1030" w:type="pct"/>
                  <w:tcBorders>
                    <w:right w:val="single" w:color="auto" w:sz="4" w:space="0"/>
                  </w:tcBorders>
                  <w:vAlign w:val="center"/>
                </w:tcPr>
                <w:p>
                  <w:pPr>
                    <w:adjustRightInd w:val="0"/>
                    <w:snapToGrid w:val="0"/>
                    <w:jc w:val="center"/>
                    <w:rPr>
                      <w:rFonts w:ascii="Times New Roman" w:hAnsi="宋体" w:eastAsia="宋体" w:cs="Times New Roman"/>
                      <w:kern w:val="0"/>
                      <w:sz w:val="18"/>
                      <w:szCs w:val="18"/>
                    </w:rPr>
                  </w:pPr>
                  <w:r>
                    <w:rPr>
                      <w:rFonts w:hint="eastAsia" w:ascii="Times New Roman" w:hAnsi="Times New Roman" w:eastAsia="宋体" w:cs="Times New Roman"/>
                      <w:sz w:val="18"/>
                      <w:szCs w:val="18"/>
                    </w:rPr>
                    <w:t>60</w:t>
                  </w:r>
                </w:p>
              </w:tc>
              <w:tc>
                <w:tcPr>
                  <w:tcW w:w="981" w:type="pct"/>
                  <w:tcBorders>
                    <w:left w:val="single" w:color="auto" w:sz="4" w:space="0"/>
                  </w:tcBorders>
                  <w:vAlign w:val="center"/>
                </w:tcPr>
                <w:p>
                  <w:pPr>
                    <w:adjustRightInd w:val="0"/>
                    <w:snapToGrid w:val="0"/>
                    <w:jc w:val="center"/>
                    <w:rPr>
                      <w:rFonts w:ascii="Times New Roman" w:hAnsi="宋体" w:eastAsia="宋体" w:cs="Times New Roman"/>
                      <w:kern w:val="0"/>
                      <w:sz w:val="18"/>
                      <w:szCs w:val="18"/>
                    </w:rPr>
                  </w:pPr>
                  <w:r>
                    <w:rPr>
                      <w:rFonts w:hint="eastAsia" w:ascii="Times New Roman" w:hAnsi="宋体" w:eastAsia="宋体" w:cs="Times New Roman"/>
                      <w:kern w:val="0"/>
                      <w:sz w:val="18"/>
                      <w:szCs w:val="18"/>
                    </w:rPr>
                    <w:t>55</w:t>
                  </w:r>
                </w:p>
              </w:tc>
              <w:tc>
                <w:tcPr>
                  <w:tcW w:w="713" w:type="pct"/>
                  <w:tcBorders>
                    <w:right w:val="single" w:color="auto" w:sz="4" w:space="0"/>
                  </w:tcBorders>
                  <w:vAlign w:val="center"/>
                </w:tcPr>
                <w:p>
                  <w:pPr>
                    <w:adjustRightInd w:val="0"/>
                    <w:snapToGrid w:val="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53.87</w:t>
                  </w:r>
                </w:p>
              </w:tc>
              <w:tc>
                <w:tcPr>
                  <w:tcW w:w="717" w:type="pct"/>
                  <w:tcBorders>
                    <w:left w:val="single" w:color="auto" w:sz="4" w:space="0"/>
                  </w:tcBorders>
                  <w:vAlign w:val="center"/>
                </w:tcPr>
                <w:p>
                  <w:pPr>
                    <w:adjustRightInd w:val="0"/>
                    <w:snapToGrid w:val="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53.87</w:t>
                  </w:r>
                </w:p>
              </w:tc>
              <w:tc>
                <w:tcPr>
                  <w:tcW w:w="485" w:type="pct"/>
                  <w:tcBorders>
                    <w:right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达标</w:t>
                  </w:r>
                </w:p>
              </w:tc>
              <w:tc>
                <w:tcPr>
                  <w:tcW w:w="474" w:type="pct"/>
                  <w:tcBorders>
                    <w:left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达标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600" w:type="pct"/>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西厂界</w:t>
                  </w:r>
                </w:p>
              </w:tc>
              <w:tc>
                <w:tcPr>
                  <w:tcW w:w="1030" w:type="pct"/>
                  <w:tcBorders>
                    <w:right w:val="single" w:color="auto" w:sz="4" w:space="0"/>
                  </w:tcBorders>
                  <w:vAlign w:val="center"/>
                </w:tcPr>
                <w:p>
                  <w:pPr>
                    <w:adjustRightInd w:val="0"/>
                    <w:snapToGrid w:val="0"/>
                    <w:jc w:val="center"/>
                    <w:rPr>
                      <w:rFonts w:ascii="Times New Roman" w:hAnsi="宋体" w:eastAsia="宋体" w:cs="Times New Roman"/>
                      <w:kern w:val="0"/>
                      <w:sz w:val="18"/>
                      <w:szCs w:val="18"/>
                    </w:rPr>
                  </w:pPr>
                  <w:r>
                    <w:rPr>
                      <w:rFonts w:hint="eastAsia" w:ascii="Times New Roman" w:hAnsi="Times New Roman" w:eastAsia="宋体" w:cs="Times New Roman"/>
                      <w:sz w:val="18"/>
                      <w:szCs w:val="18"/>
                    </w:rPr>
                    <w:t>60</w:t>
                  </w:r>
                </w:p>
              </w:tc>
              <w:tc>
                <w:tcPr>
                  <w:tcW w:w="981" w:type="pct"/>
                  <w:tcBorders>
                    <w:left w:val="single" w:color="auto" w:sz="4" w:space="0"/>
                  </w:tcBorders>
                  <w:vAlign w:val="center"/>
                </w:tcPr>
                <w:p>
                  <w:pPr>
                    <w:adjustRightInd w:val="0"/>
                    <w:snapToGrid w:val="0"/>
                    <w:jc w:val="center"/>
                    <w:rPr>
                      <w:rFonts w:ascii="Times New Roman" w:hAnsi="宋体" w:eastAsia="宋体" w:cs="Times New Roman"/>
                      <w:kern w:val="0"/>
                      <w:sz w:val="18"/>
                      <w:szCs w:val="18"/>
                    </w:rPr>
                  </w:pPr>
                  <w:r>
                    <w:rPr>
                      <w:rFonts w:hint="eastAsia" w:ascii="Times New Roman" w:hAnsi="宋体" w:eastAsia="宋体" w:cs="Times New Roman"/>
                      <w:kern w:val="0"/>
                      <w:sz w:val="18"/>
                      <w:szCs w:val="18"/>
                    </w:rPr>
                    <w:t>55</w:t>
                  </w:r>
                </w:p>
              </w:tc>
              <w:tc>
                <w:tcPr>
                  <w:tcW w:w="713" w:type="pct"/>
                  <w:tcBorders>
                    <w:right w:val="single" w:color="auto" w:sz="4" w:space="0"/>
                  </w:tcBorders>
                  <w:vAlign w:val="center"/>
                </w:tcPr>
                <w:p>
                  <w:pPr>
                    <w:adjustRightInd w:val="0"/>
                    <w:snapToGrid w:val="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54.06</w:t>
                  </w:r>
                </w:p>
              </w:tc>
              <w:tc>
                <w:tcPr>
                  <w:tcW w:w="717" w:type="pct"/>
                  <w:tcBorders>
                    <w:left w:val="single" w:color="auto" w:sz="4" w:space="0"/>
                  </w:tcBorders>
                  <w:vAlign w:val="center"/>
                </w:tcPr>
                <w:p>
                  <w:pPr>
                    <w:adjustRightInd w:val="0"/>
                    <w:snapToGrid w:val="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54.06</w:t>
                  </w:r>
                </w:p>
              </w:tc>
              <w:tc>
                <w:tcPr>
                  <w:tcW w:w="485" w:type="pct"/>
                  <w:tcBorders>
                    <w:right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达标</w:t>
                  </w:r>
                </w:p>
              </w:tc>
              <w:tc>
                <w:tcPr>
                  <w:tcW w:w="474" w:type="pct"/>
                  <w:tcBorders>
                    <w:left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达标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600" w:type="pct"/>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南厂界</w:t>
                  </w:r>
                </w:p>
              </w:tc>
              <w:tc>
                <w:tcPr>
                  <w:tcW w:w="1030" w:type="pct"/>
                  <w:tcBorders>
                    <w:right w:val="single" w:color="auto" w:sz="4" w:space="0"/>
                  </w:tcBorders>
                  <w:vAlign w:val="center"/>
                </w:tcPr>
                <w:p>
                  <w:pPr>
                    <w:adjustRightInd w:val="0"/>
                    <w:snapToGrid w:val="0"/>
                    <w:jc w:val="center"/>
                    <w:rPr>
                      <w:rFonts w:ascii="Times New Roman" w:hAnsi="宋体" w:eastAsia="宋体" w:cs="Times New Roman"/>
                      <w:kern w:val="0"/>
                      <w:sz w:val="18"/>
                      <w:szCs w:val="18"/>
                    </w:rPr>
                  </w:pPr>
                  <w:r>
                    <w:rPr>
                      <w:rFonts w:hint="eastAsia" w:ascii="Times New Roman" w:hAnsi="Times New Roman" w:eastAsia="宋体" w:cs="Times New Roman"/>
                      <w:sz w:val="18"/>
                      <w:szCs w:val="18"/>
                    </w:rPr>
                    <w:t>70</w:t>
                  </w:r>
                </w:p>
              </w:tc>
              <w:tc>
                <w:tcPr>
                  <w:tcW w:w="981" w:type="pct"/>
                  <w:tcBorders>
                    <w:left w:val="single" w:color="auto" w:sz="4" w:space="0"/>
                  </w:tcBorders>
                  <w:vAlign w:val="center"/>
                </w:tcPr>
                <w:p>
                  <w:pPr>
                    <w:adjustRightInd w:val="0"/>
                    <w:snapToGrid w:val="0"/>
                    <w:jc w:val="center"/>
                    <w:rPr>
                      <w:rFonts w:ascii="Times New Roman" w:hAnsi="宋体" w:eastAsia="宋体" w:cs="Times New Roman"/>
                      <w:kern w:val="0"/>
                      <w:sz w:val="18"/>
                      <w:szCs w:val="18"/>
                    </w:rPr>
                  </w:pPr>
                  <w:r>
                    <w:rPr>
                      <w:rFonts w:hint="eastAsia" w:ascii="Times New Roman" w:hAnsi="宋体" w:eastAsia="宋体" w:cs="Times New Roman"/>
                      <w:kern w:val="0"/>
                      <w:sz w:val="18"/>
                      <w:szCs w:val="18"/>
                    </w:rPr>
                    <w:t>55</w:t>
                  </w:r>
                </w:p>
              </w:tc>
              <w:tc>
                <w:tcPr>
                  <w:tcW w:w="713" w:type="pct"/>
                  <w:tcBorders>
                    <w:right w:val="single" w:color="auto" w:sz="4" w:space="0"/>
                  </w:tcBorders>
                  <w:vAlign w:val="center"/>
                </w:tcPr>
                <w:p>
                  <w:pPr>
                    <w:adjustRightInd w:val="0"/>
                    <w:snapToGrid w:val="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37.34</w:t>
                  </w:r>
                </w:p>
              </w:tc>
              <w:tc>
                <w:tcPr>
                  <w:tcW w:w="717" w:type="pct"/>
                  <w:tcBorders>
                    <w:left w:val="single" w:color="auto" w:sz="4" w:space="0"/>
                  </w:tcBorders>
                  <w:vAlign w:val="center"/>
                </w:tcPr>
                <w:p>
                  <w:pPr>
                    <w:adjustRightInd w:val="0"/>
                    <w:snapToGrid w:val="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37.34</w:t>
                  </w:r>
                </w:p>
              </w:tc>
              <w:tc>
                <w:tcPr>
                  <w:tcW w:w="485" w:type="pct"/>
                  <w:tcBorders>
                    <w:right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达标</w:t>
                  </w:r>
                </w:p>
              </w:tc>
              <w:tc>
                <w:tcPr>
                  <w:tcW w:w="474" w:type="pct"/>
                  <w:tcBorders>
                    <w:left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达标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600" w:type="pct"/>
                  <w:vAlign w:val="center"/>
                </w:tcPr>
                <w:p>
                  <w:pPr>
                    <w:adjustRightInd w:val="0"/>
                    <w:snapToGrid w:val="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北厂界</w:t>
                  </w:r>
                </w:p>
              </w:tc>
              <w:tc>
                <w:tcPr>
                  <w:tcW w:w="1030" w:type="pct"/>
                  <w:tcBorders>
                    <w:right w:val="single" w:color="auto" w:sz="4" w:space="0"/>
                  </w:tcBorders>
                  <w:vAlign w:val="center"/>
                </w:tcPr>
                <w:p>
                  <w:pPr>
                    <w:adjustRightInd w:val="0"/>
                    <w:snapToGrid w:val="0"/>
                    <w:jc w:val="center"/>
                    <w:rPr>
                      <w:rFonts w:ascii="Times New Roman" w:hAnsi="宋体" w:eastAsia="宋体" w:cs="Times New Roman"/>
                      <w:kern w:val="0"/>
                      <w:sz w:val="18"/>
                      <w:szCs w:val="18"/>
                    </w:rPr>
                  </w:pPr>
                  <w:r>
                    <w:rPr>
                      <w:rFonts w:hint="eastAsia" w:ascii="Times New Roman" w:hAnsi="Times New Roman" w:eastAsia="宋体" w:cs="Times New Roman"/>
                      <w:sz w:val="18"/>
                      <w:szCs w:val="18"/>
                    </w:rPr>
                    <w:t>60</w:t>
                  </w:r>
                </w:p>
              </w:tc>
              <w:tc>
                <w:tcPr>
                  <w:tcW w:w="981" w:type="pct"/>
                  <w:tcBorders>
                    <w:left w:val="single" w:color="auto" w:sz="4" w:space="0"/>
                  </w:tcBorders>
                  <w:vAlign w:val="center"/>
                </w:tcPr>
                <w:p>
                  <w:pPr>
                    <w:adjustRightInd w:val="0"/>
                    <w:snapToGrid w:val="0"/>
                    <w:jc w:val="center"/>
                    <w:rPr>
                      <w:rFonts w:ascii="Times New Roman" w:hAnsi="宋体" w:eastAsia="宋体" w:cs="Times New Roman"/>
                      <w:kern w:val="0"/>
                      <w:sz w:val="18"/>
                      <w:szCs w:val="18"/>
                    </w:rPr>
                  </w:pPr>
                  <w:r>
                    <w:rPr>
                      <w:rFonts w:hint="eastAsia" w:ascii="Times New Roman" w:hAnsi="宋体" w:eastAsia="宋体" w:cs="Times New Roman"/>
                      <w:kern w:val="0"/>
                      <w:sz w:val="18"/>
                      <w:szCs w:val="18"/>
                    </w:rPr>
                    <w:t>55</w:t>
                  </w:r>
                </w:p>
              </w:tc>
              <w:tc>
                <w:tcPr>
                  <w:tcW w:w="713" w:type="pct"/>
                  <w:tcBorders>
                    <w:right w:val="single" w:color="auto" w:sz="4" w:space="0"/>
                  </w:tcBorders>
                  <w:vAlign w:val="center"/>
                </w:tcPr>
                <w:p>
                  <w:pPr>
                    <w:adjustRightInd w:val="0"/>
                    <w:snapToGrid w:val="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51.83</w:t>
                  </w:r>
                </w:p>
              </w:tc>
              <w:tc>
                <w:tcPr>
                  <w:tcW w:w="717" w:type="pct"/>
                  <w:tcBorders>
                    <w:left w:val="single" w:color="auto" w:sz="4" w:space="0"/>
                  </w:tcBorders>
                  <w:vAlign w:val="center"/>
                </w:tcPr>
                <w:p>
                  <w:pPr>
                    <w:adjustRightInd w:val="0"/>
                    <w:snapToGrid w:val="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51.83</w:t>
                  </w:r>
                </w:p>
              </w:tc>
              <w:tc>
                <w:tcPr>
                  <w:tcW w:w="485" w:type="pct"/>
                  <w:tcBorders>
                    <w:right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达标</w:t>
                  </w:r>
                </w:p>
              </w:tc>
              <w:tc>
                <w:tcPr>
                  <w:tcW w:w="474" w:type="pct"/>
                  <w:tcBorders>
                    <w:left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达标</w:t>
                  </w:r>
                </w:p>
              </w:tc>
            </w:tr>
          </w:tbl>
          <w:p>
            <w:pPr>
              <w:adjustRightInd w:val="0"/>
              <w:snapToGrid w:val="0"/>
              <w:spacing w:before="120" w:beforeLines="50"/>
              <w:jc w:val="center"/>
              <w:rPr>
                <w:rFonts w:ascii="Times New Roman" w:hAnsi="Times New Roman" w:eastAsia="宋体" w:cs="Times New Roman"/>
                <w:b/>
                <w:szCs w:val="24"/>
              </w:rPr>
            </w:pPr>
            <w:r>
              <w:rPr>
                <w:rFonts w:hint="eastAsia" w:ascii="Times New Roman" w:hAnsi="Times New Roman" w:eastAsia="宋体" w:cs="Times New Roman"/>
                <w:b/>
                <w:szCs w:val="24"/>
              </w:rPr>
              <w:t>表26敏感点噪声预测结果一览表</w:t>
            </w:r>
          </w:p>
          <w:tbl>
            <w:tblPr>
              <w:tblStyle w:val="18"/>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576"/>
              <w:gridCol w:w="610"/>
              <w:gridCol w:w="611"/>
              <w:gridCol w:w="986"/>
              <w:gridCol w:w="939"/>
              <w:gridCol w:w="683"/>
              <w:gridCol w:w="684"/>
              <w:gridCol w:w="683"/>
              <w:gridCol w:w="684"/>
              <w:gridCol w:w="555"/>
              <w:gridCol w:w="557"/>
              <w:gridCol w:w="463"/>
              <w:gridCol w:w="4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7" w:hRule="atLeast"/>
                <w:jc w:val="center"/>
              </w:trPr>
              <w:tc>
                <w:tcPr>
                  <w:tcW w:w="339" w:type="pct"/>
                  <w:vMerge w:val="restart"/>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预测点</w:t>
                  </w:r>
                </w:p>
              </w:tc>
              <w:tc>
                <w:tcPr>
                  <w:tcW w:w="719" w:type="pct"/>
                  <w:gridSpan w:val="2"/>
                  <w:tcBorders>
                    <w:bottom w:val="single" w:color="auto" w:sz="4" w:space="0"/>
                  </w:tcBorders>
                  <w:vAlign w:val="center"/>
                </w:tcPr>
                <w:p>
                  <w:pPr>
                    <w:adjustRightInd w:val="0"/>
                    <w:snapToGrid w:val="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噪声背景值dB（A）</w:t>
                  </w:r>
                </w:p>
              </w:tc>
              <w:tc>
                <w:tcPr>
                  <w:tcW w:w="1134" w:type="pct"/>
                  <w:gridSpan w:val="2"/>
                  <w:tcBorders>
                    <w:top w:val="single" w:color="auto" w:sz="4" w:space="0"/>
                    <w:bottom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噪声标准</w:t>
                  </w:r>
                  <w:r>
                    <w:rPr>
                      <w:rFonts w:hint="eastAsia" w:ascii="Times New Roman" w:hAnsi="Times New Roman" w:eastAsia="宋体" w:cs="Times New Roman"/>
                      <w:sz w:val="18"/>
                      <w:szCs w:val="18"/>
                    </w:rPr>
                    <w:t>dB（A）</w:t>
                  </w:r>
                </w:p>
              </w:tc>
              <w:tc>
                <w:tcPr>
                  <w:tcW w:w="805" w:type="pct"/>
                  <w:gridSpan w:val="2"/>
                  <w:tcBorders>
                    <w:bottom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噪声贡献值</w:t>
                  </w:r>
                  <w:r>
                    <w:rPr>
                      <w:rFonts w:hint="eastAsia" w:ascii="Times New Roman" w:hAnsi="Times New Roman" w:eastAsia="宋体" w:cs="Times New Roman"/>
                      <w:sz w:val="18"/>
                      <w:szCs w:val="18"/>
                    </w:rPr>
                    <w:t>dB（A）</w:t>
                  </w:r>
                </w:p>
              </w:tc>
              <w:tc>
                <w:tcPr>
                  <w:tcW w:w="805" w:type="pct"/>
                  <w:gridSpan w:val="2"/>
                  <w:tcBorders>
                    <w:bottom w:val="single" w:color="auto" w:sz="4" w:space="0"/>
                  </w:tcBorders>
                  <w:vAlign w:val="center"/>
                </w:tcPr>
                <w:p>
                  <w:pPr>
                    <w:adjustRightInd w:val="0"/>
                    <w:snapToGrid w:val="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噪声</w:t>
                  </w:r>
                  <w:r>
                    <w:rPr>
                      <w:rFonts w:ascii="Times New Roman" w:hAnsi="Times New Roman" w:eastAsia="宋体" w:cs="Times New Roman"/>
                      <w:sz w:val="18"/>
                      <w:szCs w:val="18"/>
                    </w:rPr>
                    <w:t>预测值</w:t>
                  </w:r>
                  <w:r>
                    <w:rPr>
                      <w:rFonts w:hint="eastAsia" w:ascii="Times New Roman" w:hAnsi="Times New Roman" w:eastAsia="宋体" w:cs="Times New Roman"/>
                      <w:sz w:val="18"/>
                      <w:szCs w:val="18"/>
                    </w:rPr>
                    <w:t>dB（A）</w:t>
                  </w:r>
                </w:p>
              </w:tc>
              <w:tc>
                <w:tcPr>
                  <w:tcW w:w="655" w:type="pct"/>
                  <w:gridSpan w:val="2"/>
                  <w:tcBorders>
                    <w:bottom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较现状增加值</w:t>
                  </w:r>
                  <w:r>
                    <w:rPr>
                      <w:rFonts w:hint="eastAsia" w:ascii="Times New Roman" w:hAnsi="Times New Roman" w:eastAsia="宋体" w:cs="Times New Roman"/>
                      <w:sz w:val="18"/>
                      <w:szCs w:val="18"/>
                    </w:rPr>
                    <w:t>dB（A）</w:t>
                  </w:r>
                </w:p>
              </w:tc>
              <w:tc>
                <w:tcPr>
                  <w:tcW w:w="542" w:type="pct"/>
                  <w:gridSpan w:val="2"/>
                  <w:tcBorders>
                    <w:bottom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超标和达标情况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6" w:hRule="atLeast"/>
                <w:jc w:val="center"/>
              </w:trPr>
              <w:tc>
                <w:tcPr>
                  <w:tcW w:w="339" w:type="pct"/>
                  <w:vMerge w:val="continue"/>
                  <w:vAlign w:val="center"/>
                </w:tcPr>
                <w:p>
                  <w:pPr>
                    <w:adjustRightInd w:val="0"/>
                    <w:snapToGrid w:val="0"/>
                    <w:jc w:val="center"/>
                    <w:rPr>
                      <w:rFonts w:ascii="Times New Roman" w:hAnsi="Times New Roman" w:eastAsia="宋体" w:cs="Times New Roman"/>
                      <w:sz w:val="18"/>
                      <w:szCs w:val="18"/>
                    </w:rPr>
                  </w:pPr>
                </w:p>
              </w:tc>
              <w:tc>
                <w:tcPr>
                  <w:tcW w:w="359" w:type="pct"/>
                  <w:tcBorders>
                    <w:top w:val="single" w:color="auto" w:sz="4" w:space="0"/>
                    <w:right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宋体" w:eastAsia="宋体" w:cs="Times New Roman"/>
                      <w:kern w:val="0"/>
                      <w:sz w:val="18"/>
                      <w:szCs w:val="18"/>
                    </w:rPr>
                    <w:t>昼间</w:t>
                  </w:r>
                </w:p>
              </w:tc>
              <w:tc>
                <w:tcPr>
                  <w:tcW w:w="360" w:type="pct"/>
                  <w:tcBorders>
                    <w:top w:val="single" w:color="auto" w:sz="4" w:space="0"/>
                    <w:left w:val="single" w:color="auto" w:sz="4" w:space="0"/>
                  </w:tcBorders>
                  <w:vAlign w:val="center"/>
                </w:tcPr>
                <w:p>
                  <w:pPr>
                    <w:adjustRightInd w:val="0"/>
                    <w:snapToGrid w:val="0"/>
                    <w:jc w:val="center"/>
                    <w:rPr>
                      <w:rFonts w:ascii="Times New Roman" w:hAnsi="Times New Roman" w:eastAsia="宋体" w:cs="Times New Roman"/>
                      <w:sz w:val="18"/>
                      <w:szCs w:val="18"/>
                    </w:rPr>
                  </w:pPr>
                  <w:r>
                    <w:rPr>
                      <w:rFonts w:hint="eastAsia" w:ascii="Times New Roman" w:hAnsi="宋体" w:eastAsia="宋体" w:cs="Times New Roman"/>
                      <w:kern w:val="0"/>
                      <w:sz w:val="18"/>
                      <w:szCs w:val="18"/>
                    </w:rPr>
                    <w:t>夜间</w:t>
                  </w:r>
                </w:p>
              </w:tc>
              <w:tc>
                <w:tcPr>
                  <w:tcW w:w="581" w:type="pct"/>
                  <w:tcBorders>
                    <w:top w:val="single" w:color="auto" w:sz="4" w:space="0"/>
                    <w:right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宋体" w:eastAsia="宋体" w:cs="Times New Roman"/>
                      <w:kern w:val="0"/>
                      <w:sz w:val="18"/>
                      <w:szCs w:val="18"/>
                    </w:rPr>
                    <w:t>昼间</w:t>
                  </w:r>
                </w:p>
              </w:tc>
              <w:tc>
                <w:tcPr>
                  <w:tcW w:w="553" w:type="pct"/>
                  <w:tcBorders>
                    <w:top w:val="single" w:color="auto" w:sz="4" w:space="0"/>
                    <w:left w:val="single" w:color="auto" w:sz="4" w:space="0"/>
                  </w:tcBorders>
                  <w:vAlign w:val="center"/>
                </w:tcPr>
                <w:p>
                  <w:pPr>
                    <w:adjustRightInd w:val="0"/>
                    <w:snapToGrid w:val="0"/>
                    <w:jc w:val="center"/>
                    <w:rPr>
                      <w:rFonts w:ascii="Times New Roman" w:hAnsi="Times New Roman" w:eastAsia="宋体" w:cs="Times New Roman"/>
                      <w:sz w:val="18"/>
                      <w:szCs w:val="18"/>
                    </w:rPr>
                  </w:pPr>
                  <w:r>
                    <w:rPr>
                      <w:rFonts w:hint="eastAsia" w:ascii="Times New Roman" w:hAnsi="宋体" w:eastAsia="宋体" w:cs="Times New Roman"/>
                      <w:kern w:val="0"/>
                      <w:sz w:val="18"/>
                      <w:szCs w:val="18"/>
                    </w:rPr>
                    <w:t>夜间</w:t>
                  </w:r>
                </w:p>
              </w:tc>
              <w:tc>
                <w:tcPr>
                  <w:tcW w:w="402" w:type="pct"/>
                  <w:tcBorders>
                    <w:top w:val="single" w:color="auto" w:sz="4" w:space="0"/>
                    <w:right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宋体" w:eastAsia="宋体" w:cs="Times New Roman"/>
                      <w:kern w:val="0"/>
                      <w:sz w:val="18"/>
                      <w:szCs w:val="18"/>
                    </w:rPr>
                    <w:t>昼间</w:t>
                  </w:r>
                </w:p>
              </w:tc>
              <w:tc>
                <w:tcPr>
                  <w:tcW w:w="403" w:type="pct"/>
                  <w:tcBorders>
                    <w:top w:val="single" w:color="auto" w:sz="4" w:space="0"/>
                    <w:left w:val="single" w:color="auto" w:sz="4" w:space="0"/>
                  </w:tcBorders>
                  <w:vAlign w:val="center"/>
                </w:tcPr>
                <w:p>
                  <w:pPr>
                    <w:adjustRightInd w:val="0"/>
                    <w:snapToGrid w:val="0"/>
                    <w:jc w:val="center"/>
                    <w:rPr>
                      <w:rFonts w:ascii="Times New Roman" w:hAnsi="Times New Roman" w:eastAsia="宋体" w:cs="Times New Roman"/>
                      <w:sz w:val="18"/>
                      <w:szCs w:val="18"/>
                    </w:rPr>
                  </w:pPr>
                  <w:r>
                    <w:rPr>
                      <w:rFonts w:hint="eastAsia" w:ascii="Times New Roman" w:hAnsi="宋体" w:eastAsia="宋体" w:cs="Times New Roman"/>
                      <w:kern w:val="0"/>
                      <w:sz w:val="18"/>
                      <w:szCs w:val="18"/>
                    </w:rPr>
                    <w:t>夜间</w:t>
                  </w:r>
                </w:p>
              </w:tc>
              <w:tc>
                <w:tcPr>
                  <w:tcW w:w="402" w:type="pct"/>
                  <w:tcBorders>
                    <w:top w:val="single" w:color="auto" w:sz="4" w:space="0"/>
                    <w:right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宋体" w:eastAsia="宋体" w:cs="Times New Roman"/>
                      <w:kern w:val="0"/>
                      <w:sz w:val="18"/>
                      <w:szCs w:val="18"/>
                    </w:rPr>
                    <w:t>昼间</w:t>
                  </w:r>
                </w:p>
              </w:tc>
              <w:tc>
                <w:tcPr>
                  <w:tcW w:w="403" w:type="pct"/>
                  <w:tcBorders>
                    <w:top w:val="single" w:color="auto" w:sz="4" w:space="0"/>
                    <w:left w:val="single" w:color="auto" w:sz="4" w:space="0"/>
                  </w:tcBorders>
                  <w:vAlign w:val="center"/>
                </w:tcPr>
                <w:p>
                  <w:pPr>
                    <w:adjustRightInd w:val="0"/>
                    <w:snapToGrid w:val="0"/>
                    <w:jc w:val="center"/>
                    <w:rPr>
                      <w:rFonts w:ascii="Times New Roman" w:hAnsi="Times New Roman" w:eastAsia="宋体" w:cs="Times New Roman"/>
                      <w:sz w:val="18"/>
                      <w:szCs w:val="18"/>
                    </w:rPr>
                  </w:pPr>
                  <w:r>
                    <w:rPr>
                      <w:rFonts w:hint="eastAsia" w:ascii="Times New Roman" w:hAnsi="宋体" w:eastAsia="宋体" w:cs="Times New Roman"/>
                      <w:kern w:val="0"/>
                      <w:sz w:val="18"/>
                      <w:szCs w:val="18"/>
                    </w:rPr>
                    <w:t>夜间</w:t>
                  </w:r>
                </w:p>
              </w:tc>
              <w:tc>
                <w:tcPr>
                  <w:tcW w:w="327" w:type="pct"/>
                  <w:tcBorders>
                    <w:top w:val="single" w:color="auto" w:sz="4" w:space="0"/>
                    <w:right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宋体" w:eastAsia="宋体" w:cs="Times New Roman"/>
                      <w:kern w:val="0"/>
                      <w:sz w:val="18"/>
                      <w:szCs w:val="18"/>
                    </w:rPr>
                    <w:t>昼间</w:t>
                  </w:r>
                </w:p>
              </w:tc>
              <w:tc>
                <w:tcPr>
                  <w:tcW w:w="328" w:type="pct"/>
                  <w:tcBorders>
                    <w:top w:val="single" w:color="auto" w:sz="4" w:space="0"/>
                    <w:left w:val="single" w:color="auto" w:sz="4" w:space="0"/>
                  </w:tcBorders>
                  <w:vAlign w:val="center"/>
                </w:tcPr>
                <w:p>
                  <w:pPr>
                    <w:adjustRightInd w:val="0"/>
                    <w:snapToGrid w:val="0"/>
                    <w:jc w:val="center"/>
                    <w:rPr>
                      <w:rFonts w:ascii="Times New Roman" w:hAnsi="Times New Roman" w:eastAsia="宋体" w:cs="Times New Roman"/>
                      <w:sz w:val="18"/>
                      <w:szCs w:val="18"/>
                    </w:rPr>
                  </w:pPr>
                  <w:r>
                    <w:rPr>
                      <w:rFonts w:hint="eastAsia" w:ascii="Times New Roman" w:hAnsi="宋体" w:eastAsia="宋体" w:cs="Times New Roman"/>
                      <w:kern w:val="0"/>
                      <w:sz w:val="18"/>
                      <w:szCs w:val="18"/>
                    </w:rPr>
                    <w:t>夜间</w:t>
                  </w:r>
                </w:p>
              </w:tc>
              <w:tc>
                <w:tcPr>
                  <w:tcW w:w="273" w:type="pct"/>
                  <w:tcBorders>
                    <w:top w:val="single" w:color="auto" w:sz="4" w:space="0"/>
                    <w:right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宋体" w:eastAsia="宋体" w:cs="Times New Roman"/>
                      <w:kern w:val="0"/>
                      <w:sz w:val="18"/>
                      <w:szCs w:val="18"/>
                    </w:rPr>
                    <w:t>昼间</w:t>
                  </w:r>
                </w:p>
              </w:tc>
              <w:tc>
                <w:tcPr>
                  <w:tcW w:w="270" w:type="pct"/>
                  <w:tcBorders>
                    <w:top w:val="single" w:color="auto" w:sz="4" w:space="0"/>
                    <w:left w:val="single" w:color="auto" w:sz="4" w:space="0"/>
                  </w:tcBorders>
                  <w:vAlign w:val="center"/>
                </w:tcPr>
                <w:p>
                  <w:pPr>
                    <w:adjustRightInd w:val="0"/>
                    <w:snapToGrid w:val="0"/>
                    <w:jc w:val="center"/>
                    <w:rPr>
                      <w:rFonts w:ascii="Times New Roman" w:hAnsi="Times New Roman" w:eastAsia="宋体" w:cs="Times New Roman"/>
                      <w:sz w:val="18"/>
                      <w:szCs w:val="18"/>
                    </w:rPr>
                  </w:pPr>
                  <w:r>
                    <w:rPr>
                      <w:rFonts w:hint="eastAsia" w:ascii="Times New Roman" w:hAnsi="宋体" w:eastAsia="宋体" w:cs="Times New Roman"/>
                      <w:kern w:val="0"/>
                      <w:sz w:val="18"/>
                      <w:szCs w:val="18"/>
                    </w:rPr>
                    <w:t>夜间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339" w:type="pct"/>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天成化工宿舍</w:t>
                  </w:r>
                </w:p>
              </w:tc>
              <w:tc>
                <w:tcPr>
                  <w:tcW w:w="359" w:type="pct"/>
                  <w:tcBorders>
                    <w:right w:val="single" w:color="auto" w:sz="4" w:space="0"/>
                  </w:tcBorders>
                  <w:vAlign w:val="center"/>
                </w:tcPr>
                <w:p>
                  <w:pPr>
                    <w:adjustRightInd w:val="0"/>
                    <w:snapToGrid w:val="0"/>
                    <w:jc w:val="center"/>
                    <w:rPr>
                      <w:rFonts w:ascii="Times New Roman" w:hAnsi="宋体" w:eastAsia="宋体" w:cs="Times New Roman"/>
                      <w:kern w:val="0"/>
                      <w:sz w:val="18"/>
                      <w:szCs w:val="18"/>
                    </w:rPr>
                  </w:pPr>
                  <w:r>
                    <w:rPr>
                      <w:rFonts w:hint="eastAsia" w:ascii="Times New Roman" w:hAnsi="宋体" w:eastAsia="宋体" w:cs="Times New Roman"/>
                      <w:kern w:val="0"/>
                      <w:sz w:val="18"/>
                      <w:szCs w:val="18"/>
                    </w:rPr>
                    <w:t>49.2</w:t>
                  </w:r>
                </w:p>
              </w:tc>
              <w:tc>
                <w:tcPr>
                  <w:tcW w:w="360" w:type="pct"/>
                  <w:tcBorders>
                    <w:left w:val="single" w:color="auto" w:sz="4" w:space="0"/>
                  </w:tcBorders>
                  <w:vAlign w:val="center"/>
                </w:tcPr>
                <w:p>
                  <w:pPr>
                    <w:adjustRightInd w:val="0"/>
                    <w:snapToGrid w:val="0"/>
                    <w:jc w:val="center"/>
                    <w:rPr>
                      <w:rFonts w:ascii="Times New Roman" w:hAnsi="宋体" w:eastAsia="宋体" w:cs="Times New Roman"/>
                      <w:kern w:val="0"/>
                      <w:sz w:val="18"/>
                      <w:szCs w:val="18"/>
                    </w:rPr>
                  </w:pPr>
                  <w:r>
                    <w:rPr>
                      <w:rFonts w:hint="eastAsia" w:ascii="Times New Roman" w:hAnsi="宋体" w:eastAsia="宋体" w:cs="Times New Roman"/>
                      <w:kern w:val="0"/>
                      <w:sz w:val="18"/>
                      <w:szCs w:val="18"/>
                    </w:rPr>
                    <w:t>39.1</w:t>
                  </w:r>
                </w:p>
              </w:tc>
              <w:tc>
                <w:tcPr>
                  <w:tcW w:w="581" w:type="pct"/>
                  <w:tcBorders>
                    <w:right w:val="single" w:color="auto" w:sz="4" w:space="0"/>
                  </w:tcBorders>
                  <w:vAlign w:val="center"/>
                </w:tcPr>
                <w:p>
                  <w:pPr>
                    <w:adjustRightInd w:val="0"/>
                    <w:snapToGrid w:val="0"/>
                    <w:jc w:val="center"/>
                    <w:rPr>
                      <w:rFonts w:ascii="Times New Roman" w:hAnsi="宋体" w:eastAsia="宋体" w:cs="Times New Roman"/>
                      <w:kern w:val="0"/>
                      <w:sz w:val="18"/>
                      <w:szCs w:val="18"/>
                    </w:rPr>
                  </w:pPr>
                  <w:r>
                    <w:rPr>
                      <w:rFonts w:hint="eastAsia" w:ascii="Times New Roman" w:hAnsi="宋体" w:eastAsia="宋体" w:cs="Times New Roman"/>
                      <w:kern w:val="0"/>
                      <w:sz w:val="18"/>
                      <w:szCs w:val="18"/>
                    </w:rPr>
                    <w:t>55</w:t>
                  </w:r>
                </w:p>
              </w:tc>
              <w:tc>
                <w:tcPr>
                  <w:tcW w:w="553" w:type="pct"/>
                  <w:tcBorders>
                    <w:left w:val="single" w:color="auto" w:sz="4" w:space="0"/>
                  </w:tcBorders>
                  <w:vAlign w:val="center"/>
                </w:tcPr>
                <w:p>
                  <w:pPr>
                    <w:adjustRightInd w:val="0"/>
                    <w:snapToGrid w:val="0"/>
                    <w:jc w:val="center"/>
                    <w:rPr>
                      <w:rFonts w:ascii="Times New Roman" w:hAnsi="宋体" w:eastAsia="宋体" w:cs="Times New Roman"/>
                      <w:kern w:val="0"/>
                      <w:sz w:val="18"/>
                      <w:szCs w:val="18"/>
                    </w:rPr>
                  </w:pPr>
                  <w:r>
                    <w:rPr>
                      <w:rFonts w:hint="eastAsia" w:ascii="Times New Roman" w:hAnsi="宋体" w:eastAsia="宋体" w:cs="Times New Roman"/>
                      <w:kern w:val="0"/>
                      <w:sz w:val="18"/>
                      <w:szCs w:val="18"/>
                    </w:rPr>
                    <w:t>45</w:t>
                  </w:r>
                </w:p>
              </w:tc>
              <w:tc>
                <w:tcPr>
                  <w:tcW w:w="402" w:type="pct"/>
                  <w:tcBorders>
                    <w:right w:val="single" w:color="auto" w:sz="4" w:space="0"/>
                  </w:tcBorders>
                  <w:vAlign w:val="center"/>
                </w:tcPr>
                <w:p>
                  <w:pPr>
                    <w:adjustRightInd w:val="0"/>
                    <w:snapToGrid w:val="0"/>
                    <w:jc w:val="center"/>
                    <w:rPr>
                      <w:rFonts w:ascii="Times New Roman" w:hAnsi="宋体" w:eastAsia="宋体" w:cs="Times New Roman"/>
                      <w:kern w:val="0"/>
                      <w:sz w:val="18"/>
                      <w:szCs w:val="18"/>
                    </w:rPr>
                  </w:pPr>
                  <w:r>
                    <w:rPr>
                      <w:rFonts w:hint="eastAsia" w:ascii="Times New Roman" w:hAnsi="宋体" w:eastAsia="宋体" w:cs="Times New Roman"/>
                      <w:kern w:val="0"/>
                      <w:sz w:val="18"/>
                      <w:szCs w:val="18"/>
                    </w:rPr>
                    <w:t>38.52</w:t>
                  </w:r>
                </w:p>
              </w:tc>
              <w:tc>
                <w:tcPr>
                  <w:tcW w:w="403" w:type="pct"/>
                  <w:tcBorders>
                    <w:left w:val="single" w:color="auto" w:sz="4" w:space="0"/>
                  </w:tcBorders>
                  <w:vAlign w:val="center"/>
                </w:tcPr>
                <w:p>
                  <w:pPr>
                    <w:adjustRightInd w:val="0"/>
                    <w:snapToGrid w:val="0"/>
                    <w:jc w:val="center"/>
                    <w:rPr>
                      <w:rFonts w:ascii="Times New Roman" w:hAnsi="宋体" w:eastAsia="宋体" w:cs="Times New Roman"/>
                      <w:kern w:val="0"/>
                      <w:sz w:val="18"/>
                      <w:szCs w:val="18"/>
                    </w:rPr>
                  </w:pPr>
                  <w:r>
                    <w:rPr>
                      <w:rFonts w:hint="eastAsia" w:ascii="Times New Roman" w:hAnsi="宋体" w:eastAsia="宋体" w:cs="Times New Roman"/>
                      <w:kern w:val="0"/>
                      <w:sz w:val="18"/>
                      <w:szCs w:val="18"/>
                    </w:rPr>
                    <w:t>38.52</w:t>
                  </w:r>
                </w:p>
              </w:tc>
              <w:tc>
                <w:tcPr>
                  <w:tcW w:w="402" w:type="pct"/>
                  <w:tcBorders>
                    <w:right w:val="single" w:color="auto" w:sz="4" w:space="0"/>
                  </w:tcBorders>
                  <w:vAlign w:val="center"/>
                </w:tcPr>
                <w:p>
                  <w:pPr>
                    <w:adjustRightInd w:val="0"/>
                    <w:snapToGrid w:val="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49.56</w:t>
                  </w:r>
                </w:p>
              </w:tc>
              <w:tc>
                <w:tcPr>
                  <w:tcW w:w="403" w:type="pct"/>
                  <w:tcBorders>
                    <w:left w:val="single" w:color="auto" w:sz="4" w:space="0"/>
                  </w:tcBorders>
                  <w:vAlign w:val="center"/>
                </w:tcPr>
                <w:p>
                  <w:pPr>
                    <w:adjustRightInd w:val="0"/>
                    <w:snapToGrid w:val="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41.83</w:t>
                  </w:r>
                </w:p>
              </w:tc>
              <w:tc>
                <w:tcPr>
                  <w:tcW w:w="327" w:type="pct"/>
                  <w:tcBorders>
                    <w:right w:val="single" w:color="auto" w:sz="4" w:space="0"/>
                  </w:tcBorders>
                  <w:vAlign w:val="center"/>
                </w:tcPr>
                <w:p>
                  <w:pPr>
                    <w:adjustRightInd w:val="0"/>
                    <w:snapToGrid w:val="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0.36</w:t>
                  </w:r>
                </w:p>
              </w:tc>
              <w:tc>
                <w:tcPr>
                  <w:tcW w:w="328" w:type="pct"/>
                  <w:tcBorders>
                    <w:left w:val="single" w:color="auto" w:sz="4" w:space="0"/>
                  </w:tcBorders>
                  <w:vAlign w:val="center"/>
                </w:tcPr>
                <w:p>
                  <w:pPr>
                    <w:adjustRightInd w:val="0"/>
                    <w:snapToGrid w:val="0"/>
                    <w:jc w:val="center"/>
                    <w:rPr>
                      <w:rFonts w:ascii="Times New Roman" w:hAnsi="Times New Roman" w:eastAsia="宋体" w:cs="Times New Roman"/>
                      <w:sz w:val="18"/>
                      <w:szCs w:val="18"/>
                    </w:rPr>
                  </w:pPr>
                  <w:r>
                    <w:rPr>
                      <w:rFonts w:hint="eastAsia" w:ascii="Times New Roman" w:hAnsi="Times New Roman" w:eastAsia="宋体" w:cs="Times New Roman"/>
                      <w:sz w:val="18"/>
                      <w:szCs w:val="18"/>
                    </w:rPr>
                    <w:t>2.73</w:t>
                  </w:r>
                </w:p>
              </w:tc>
              <w:tc>
                <w:tcPr>
                  <w:tcW w:w="273" w:type="pct"/>
                  <w:tcBorders>
                    <w:right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达标</w:t>
                  </w:r>
                </w:p>
              </w:tc>
              <w:tc>
                <w:tcPr>
                  <w:tcW w:w="270" w:type="pct"/>
                  <w:tcBorders>
                    <w:left w:val="single" w:color="auto" w:sz="4" w:space="0"/>
                  </w:tcBorders>
                  <w:vAlign w:val="center"/>
                </w:tcPr>
                <w:p>
                  <w:pPr>
                    <w:adjustRightInd w:val="0"/>
                    <w:snapToGrid w:val="0"/>
                    <w:jc w:val="center"/>
                    <w:rPr>
                      <w:rFonts w:ascii="Times New Roman" w:hAnsi="Times New Roman" w:eastAsia="宋体" w:cs="Times New Roman"/>
                      <w:sz w:val="18"/>
                      <w:szCs w:val="18"/>
                    </w:rPr>
                  </w:pPr>
                  <w:r>
                    <w:rPr>
                      <w:rFonts w:ascii="Times New Roman" w:hAnsi="Times New Roman" w:eastAsia="宋体" w:cs="Times New Roman"/>
                      <w:sz w:val="18"/>
                      <w:szCs w:val="18"/>
                    </w:rPr>
                    <w:t>达标</w:t>
                  </w:r>
                </w:p>
              </w:tc>
            </w:tr>
          </w:tbl>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（2）达标情况分析</w:t>
            </w:r>
          </w:p>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各产噪设备采取一定的降噪措施后，再经距离衰减，项目厂界噪声排放可达到《工业企业厂界环境噪声排放标准》（GB12348-2008）2类、4类标准要求，天成化工宿舍噪声可满足《声环境质量标准》（GB3096—2008）中1类标准要求，对周围声环境影响较小。</w:t>
            </w:r>
          </w:p>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（3）监测要求</w:t>
            </w:r>
          </w:p>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本项目噪声监测要求见下表。</w:t>
            </w:r>
          </w:p>
          <w:p>
            <w:pPr>
              <w:adjustRightInd w:val="0"/>
              <w:snapToGrid w:val="0"/>
              <w:spacing w:before="120" w:beforeLines="50"/>
              <w:jc w:val="center"/>
              <w:rPr>
                <w:rFonts w:ascii="Times New Roman" w:hAnsi="Times New Roman" w:eastAsia="宋体" w:cs="Times New Roman"/>
                <w:b/>
                <w:szCs w:val="24"/>
              </w:rPr>
            </w:pPr>
            <w:r>
              <w:rPr>
                <w:rFonts w:hint="eastAsia" w:ascii="Times New Roman" w:hAnsi="Times New Roman" w:eastAsia="宋体" w:cs="Times New Roman"/>
                <w:b/>
                <w:szCs w:val="24"/>
              </w:rPr>
              <w:t>表27噪声监测要求一览表</w:t>
            </w: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89"/>
              <w:gridCol w:w="1334"/>
              <w:gridCol w:w="1311"/>
              <w:gridCol w:w="42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36"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监测点位</w:t>
                  </w:r>
                </w:p>
              </w:tc>
              <w:tc>
                <w:tcPr>
                  <w:tcW w:w="786"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监测指标</w:t>
                  </w:r>
                </w:p>
              </w:tc>
              <w:tc>
                <w:tcPr>
                  <w:tcW w:w="772"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监测频次</w:t>
                  </w:r>
                </w:p>
              </w:tc>
              <w:tc>
                <w:tcPr>
                  <w:tcW w:w="2506"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执行排放标准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36" w:type="pct"/>
                  <w:vAlign w:val="center"/>
                </w:tcPr>
                <w:p>
                  <w:pPr>
                    <w:snapToGrid w:val="0"/>
                    <w:jc w:val="center"/>
                    <w:rPr>
                      <w:rFonts w:ascii="Times New Roman" w:hAnsi="Times New Roman" w:eastAsia="宋体" w:cs="Times New Roman"/>
                      <w:szCs w:val="21"/>
                    </w:rPr>
                  </w:pPr>
                  <w:r>
                    <w:rPr>
                      <w:rFonts w:hint="eastAsia" w:ascii="Times New Roman" w:hAnsi="Times New Roman" w:eastAsia="宋体" w:cs="Times New Roman"/>
                      <w:szCs w:val="21"/>
                    </w:rPr>
                    <w:t>厂界</w:t>
                  </w:r>
                  <w:r>
                    <w:rPr>
                      <w:rFonts w:ascii="Times New Roman" w:hAnsi="Times New Roman" w:eastAsia="宋体" w:cs="Times New Roman"/>
                      <w:szCs w:val="21"/>
                    </w:rPr>
                    <w:t>四周</w:t>
                  </w:r>
                </w:p>
              </w:tc>
              <w:tc>
                <w:tcPr>
                  <w:tcW w:w="786"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Leq</w:t>
                  </w:r>
                </w:p>
              </w:tc>
              <w:tc>
                <w:tcPr>
                  <w:tcW w:w="772"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每季一次</w:t>
                  </w:r>
                </w:p>
              </w:tc>
              <w:tc>
                <w:tcPr>
                  <w:tcW w:w="2506" w:type="pct"/>
                  <w:vAlign w:val="center"/>
                </w:tcPr>
                <w:p>
                  <w:pPr>
                    <w:snapToGrid w:val="0"/>
                    <w:jc w:val="center"/>
                    <w:rPr>
                      <w:rFonts w:ascii="Times New Roman" w:hAnsi="Times New Roman" w:eastAsia="宋体" w:cs="Times New Roman"/>
                      <w:szCs w:val="21"/>
                    </w:rPr>
                  </w:pPr>
                  <w:r>
                    <w:rPr>
                      <w:rFonts w:ascii="Times New Roman" w:hAnsi="Times New Roman" w:eastAsia="宋体" w:cs="Times New Roman"/>
                      <w:szCs w:val="21"/>
                    </w:rPr>
                    <w:t>《工业企业厂界环境噪声排放标准》（GB123482008）</w:t>
                  </w:r>
                  <w:r>
                    <w:rPr>
                      <w:rFonts w:hint="eastAsia" w:ascii="Times New Roman" w:hAnsi="Times New Roman" w:eastAsia="宋体" w:cs="Times New Roman"/>
                      <w:szCs w:val="21"/>
                    </w:rPr>
                    <w:t>2类、4类标准</w:t>
                  </w:r>
                </w:p>
              </w:tc>
            </w:tr>
          </w:tbl>
          <w:p>
            <w:pPr>
              <w:widowControl/>
              <w:adjustRightInd w:val="0"/>
              <w:snapToGrid w:val="0"/>
              <w:spacing w:line="360" w:lineRule="auto"/>
              <w:ind w:firstLine="420"/>
              <w:textAlignment w:val="baseline"/>
              <w:rPr>
                <w:rFonts w:ascii="Times New Roman" w:hAnsi="Times New Roman" w:eastAsia="仿宋_GB2312" w:cs="Times New Roman"/>
                <w:kern w:val="24"/>
                <w:sz w:val="24"/>
                <w:szCs w:val="21"/>
              </w:rPr>
            </w:pPr>
            <w:r>
              <w:rPr>
                <w:rFonts w:hint="eastAsia" w:ascii="Times New Roman" w:hAnsi="Times New Roman" w:eastAsia="宋体" w:cs="Times New Roman"/>
                <w:kern w:val="24"/>
                <w:szCs w:val="21"/>
              </w:rPr>
              <w:t>4、固体废物</w:t>
            </w:r>
          </w:p>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w:t>
            </w:r>
            <w:r>
              <w:rPr>
                <w:rFonts w:hint="eastAsia" w:ascii="Times New Roman" w:hAnsi="Times New Roman" w:eastAsia="宋体" w:cs="Times New Roman"/>
                <w:kern w:val="24"/>
                <w:szCs w:val="21"/>
              </w:rPr>
              <w:t>1</w:t>
            </w:r>
            <w:r>
              <w:rPr>
                <w:rFonts w:ascii="Times New Roman" w:hAnsi="Times New Roman" w:eastAsia="宋体" w:cs="Times New Roman"/>
                <w:kern w:val="24"/>
                <w:szCs w:val="21"/>
              </w:rPr>
              <w:t>）固体废物属性鉴别</w:t>
            </w:r>
          </w:p>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ascii="Times New Roman" w:hAnsi="Times New Roman" w:eastAsia="宋体" w:cs="Times New Roman"/>
                <w:kern w:val="24"/>
                <w:szCs w:val="21"/>
              </w:rPr>
              <w:t>根据《中华人民共和国固体废物污染环境防治法》（2020</w:t>
            </w:r>
            <w:r>
              <w:rPr>
                <w:rFonts w:hint="eastAsia" w:ascii="Times New Roman" w:hAnsi="Times New Roman" w:eastAsia="宋体" w:cs="Times New Roman"/>
                <w:kern w:val="24"/>
                <w:szCs w:val="21"/>
              </w:rPr>
              <w:t>年修订</w:t>
            </w:r>
            <w:r>
              <w:rPr>
                <w:rFonts w:ascii="Times New Roman" w:hAnsi="Times New Roman" w:eastAsia="宋体" w:cs="Times New Roman"/>
                <w:kern w:val="24"/>
                <w:szCs w:val="21"/>
              </w:rPr>
              <w:t>）</w:t>
            </w:r>
            <w:r>
              <w:rPr>
                <w:rFonts w:hint="eastAsia" w:ascii="Times New Roman" w:hAnsi="Times New Roman" w:eastAsia="宋体" w:cs="Times New Roman"/>
                <w:kern w:val="24"/>
                <w:szCs w:val="21"/>
              </w:rPr>
              <w:t>、</w:t>
            </w:r>
            <w:r>
              <w:rPr>
                <w:rFonts w:ascii="Times New Roman" w:hAnsi="Times New Roman" w:eastAsia="宋体" w:cs="Times New Roman"/>
                <w:kern w:val="24"/>
                <w:szCs w:val="21"/>
              </w:rPr>
              <w:t>《固体废物鉴别标准通则》（GB34330-2017）、《国家危险废物名录》</w:t>
            </w:r>
            <w:r>
              <w:rPr>
                <w:rFonts w:hint="eastAsia" w:ascii="Times New Roman" w:hAnsi="Times New Roman" w:eastAsia="宋体" w:cs="Times New Roman"/>
                <w:kern w:val="24"/>
                <w:szCs w:val="21"/>
              </w:rPr>
              <w:t>，对本项目产生的固体废物进行鉴别并分类，具体如下：</w:t>
            </w:r>
          </w:p>
          <w:p>
            <w:pPr>
              <w:widowControl/>
              <w:numPr>
                <w:ilvl w:val="0"/>
                <w:numId w:val="2"/>
              </w:numPr>
              <w:adjustRightInd w:val="0"/>
              <w:snapToGrid w:val="0"/>
              <w:spacing w:line="360" w:lineRule="auto"/>
              <w:ind w:left="0" w:firstLine="420" w:firstLineChars="20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一般固体废物：污水处理系统产生的絮凝沉淀物。</w:t>
            </w:r>
          </w:p>
          <w:p>
            <w:pPr>
              <w:widowControl/>
              <w:adjustRightInd w:val="0"/>
              <w:snapToGrid w:val="0"/>
              <w:spacing w:line="360" w:lineRule="auto"/>
              <w:ind w:firstLine="420" w:firstLineChars="20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参考《</w:t>
            </w:r>
            <w:r>
              <w:rPr>
                <w:rFonts w:ascii="Times New Roman" w:hAnsi="Times New Roman" w:eastAsia="宋体" w:cs="Times New Roman"/>
                <w:kern w:val="24"/>
                <w:szCs w:val="21"/>
              </w:rPr>
              <w:t>排放源统计调查产排污核算方法和系数手册》中的废弃资源综合利用行业系数手册</w:t>
            </w:r>
            <w:r>
              <w:rPr>
                <w:rFonts w:hint="eastAsia" w:ascii="Times New Roman" w:hAnsi="Times New Roman" w:eastAsia="宋体" w:cs="Times New Roman"/>
                <w:kern w:val="24"/>
                <w:szCs w:val="21"/>
              </w:rPr>
              <w:t>，一般固废的产污系数为30kg/t-原料，絮凝沉淀物产生量约899t/a，废包装袋产生量约5t/a，返回废品收购站循环利用，隔油池清除的植物油渣定期交有处理资质的单位进行处置，挑选出的其他材质的瓶子外售给废品站。</w:t>
            </w:r>
          </w:p>
          <w:p>
            <w:pPr>
              <w:widowControl/>
              <w:numPr>
                <w:ilvl w:val="0"/>
                <w:numId w:val="2"/>
              </w:numPr>
              <w:adjustRightInd w:val="0"/>
              <w:snapToGrid w:val="0"/>
              <w:spacing w:line="360" w:lineRule="auto"/>
              <w:ind w:left="0" w:firstLine="420" w:firstLineChars="20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危险废物：生产设备维修过程产生的废机油、废机油桶。</w:t>
            </w:r>
          </w:p>
          <w:p>
            <w:pPr>
              <w:widowControl/>
              <w:numPr>
                <w:ilvl w:val="0"/>
                <w:numId w:val="2"/>
              </w:numPr>
              <w:adjustRightInd w:val="0"/>
              <w:snapToGrid w:val="0"/>
              <w:spacing w:line="360" w:lineRule="auto"/>
              <w:ind w:left="0" w:firstLine="420" w:firstLineChars="20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生活垃圾：产生量为3t/a，由环卫部门统一清运处理。</w:t>
            </w:r>
          </w:p>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（2）固废产生量及处置措施</w:t>
            </w:r>
          </w:p>
          <w:p>
            <w:pPr>
              <w:widowControl/>
              <w:adjustRightInd w:val="0"/>
              <w:snapToGrid w:val="0"/>
              <w:spacing w:line="360" w:lineRule="auto"/>
              <w:ind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固体废物产生及处置情况见下表。</w:t>
            </w:r>
          </w:p>
          <w:p>
            <w:pPr>
              <w:adjustRightInd w:val="0"/>
              <w:snapToGrid w:val="0"/>
              <w:spacing w:before="120" w:beforeLines="50"/>
              <w:jc w:val="center"/>
              <w:rPr>
                <w:rFonts w:ascii="Times New Roman" w:hAnsi="Times New Roman" w:eastAsia="宋体" w:cs="Times New Roman"/>
                <w:b/>
                <w:szCs w:val="24"/>
              </w:rPr>
            </w:pPr>
            <w:bookmarkStart w:id="4" w:name="_Ref30168727"/>
            <w:r>
              <w:rPr>
                <w:rFonts w:hint="eastAsia" w:ascii="Times New Roman" w:hAnsi="Times New Roman" w:eastAsia="宋体" w:cs="Times New Roman"/>
                <w:b/>
                <w:szCs w:val="24"/>
              </w:rPr>
              <w:t>表</w:t>
            </w:r>
            <w:bookmarkEnd w:id="4"/>
            <w:r>
              <w:rPr>
                <w:rFonts w:hint="eastAsia" w:ascii="Times New Roman" w:hAnsi="Times New Roman" w:eastAsia="宋体" w:cs="Times New Roman"/>
                <w:b/>
                <w:szCs w:val="24"/>
              </w:rPr>
              <w:t>28项目固体废物产生及处置情况</w:t>
            </w:r>
            <w:r>
              <w:rPr>
                <w:rFonts w:ascii="Times New Roman" w:hAnsi="Times New Roman" w:eastAsia="宋体" w:cs="Times New Roman"/>
                <w:b/>
                <w:szCs w:val="24"/>
              </w:rPr>
              <w:t>一览表</w:t>
            </w:r>
          </w:p>
          <w:tbl>
            <w:tblPr>
              <w:tblStyle w:val="18"/>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548"/>
              <w:gridCol w:w="1411"/>
              <w:gridCol w:w="900"/>
              <w:gridCol w:w="2251"/>
              <w:gridCol w:w="1689"/>
              <w:gridCol w:w="169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323" w:type="pc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序号</w:t>
                  </w:r>
                </w:p>
              </w:tc>
              <w:tc>
                <w:tcPr>
                  <w:tcW w:w="831" w:type="pc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固废名称</w:t>
                  </w:r>
                </w:p>
              </w:tc>
              <w:tc>
                <w:tcPr>
                  <w:tcW w:w="530" w:type="pct"/>
                </w:tcPr>
                <w:p>
                  <w:pPr>
                    <w:jc w:val="center"/>
                    <w:rPr>
                      <w:rFonts w:ascii="Times New Roman" w:hAnsi="Times New Roman" w:eastAsia="宋体" w:cs="Times New Roman"/>
                      <w:szCs w:val="21"/>
                    </w:rPr>
                  </w:pPr>
                  <w:r>
                    <w:rPr>
                      <w:rFonts w:ascii="Times New Roman" w:hAnsi="Times New Roman" w:eastAsia="宋体" w:cs="Times New Roman"/>
                      <w:szCs w:val="21"/>
                    </w:rPr>
                    <w:t>产生量</w:t>
                  </w:r>
                </w:p>
              </w:tc>
              <w:tc>
                <w:tcPr>
                  <w:tcW w:w="1326" w:type="pc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分类</w:t>
                  </w:r>
                </w:p>
              </w:tc>
              <w:tc>
                <w:tcPr>
                  <w:tcW w:w="995" w:type="pc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代码</w:t>
                  </w:r>
                </w:p>
              </w:tc>
              <w:tc>
                <w:tcPr>
                  <w:tcW w:w="995" w:type="pc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处置措施</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323" w:type="pc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1</w:t>
                  </w:r>
                </w:p>
              </w:tc>
              <w:tc>
                <w:tcPr>
                  <w:tcW w:w="831"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kern w:val="24"/>
                      <w:szCs w:val="21"/>
                    </w:rPr>
                    <w:t>絮凝沉淀物</w:t>
                  </w:r>
                </w:p>
              </w:tc>
              <w:tc>
                <w:tcPr>
                  <w:tcW w:w="530"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899t/a</w:t>
                  </w:r>
                </w:p>
              </w:tc>
              <w:tc>
                <w:tcPr>
                  <w:tcW w:w="1326" w:type="pc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一般固废</w:t>
                  </w:r>
                </w:p>
              </w:tc>
              <w:tc>
                <w:tcPr>
                  <w:tcW w:w="995" w:type="pct"/>
                  <w:vAlign w:val="center"/>
                </w:tcPr>
                <w:p>
                  <w:pPr>
                    <w:jc w:val="center"/>
                    <w:rPr>
                      <w:rFonts w:ascii="宋体" w:hAnsi="Times New Roman" w:eastAsia="宋体" w:cs="宋体"/>
                      <w:kern w:val="0"/>
                      <w:szCs w:val="21"/>
                    </w:rPr>
                  </w:pPr>
                  <w:r>
                    <w:rPr>
                      <w:rFonts w:hint="eastAsia" w:ascii="Times New Roman" w:hAnsi="Times New Roman" w:eastAsia="宋体" w:cs="Times New Roman"/>
                      <w:szCs w:val="21"/>
                    </w:rPr>
                    <w:t>其他废物-99</w:t>
                  </w:r>
                </w:p>
              </w:tc>
              <w:tc>
                <w:tcPr>
                  <w:tcW w:w="995" w:type="pct"/>
                  <w:vAlign w:val="center"/>
                </w:tcPr>
                <w:p>
                  <w:pPr>
                    <w:jc w:val="center"/>
                    <w:rPr>
                      <w:rFonts w:ascii="Times New Roman" w:hAnsi="Times New Roman" w:eastAsia="宋体" w:cs="Times New Roman"/>
                      <w:szCs w:val="21"/>
                    </w:rPr>
                  </w:pPr>
                  <w:r>
                    <w:rPr>
                      <w:rFonts w:hint="eastAsia" w:ascii="宋体" w:hAnsi="Times New Roman" w:eastAsia="宋体" w:cs="宋体"/>
                      <w:kern w:val="0"/>
                      <w:szCs w:val="21"/>
                    </w:rPr>
                    <w:t>储存在污泥池内，定期交有处理能力的单位进行处置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323"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2</w:t>
                  </w:r>
                </w:p>
              </w:tc>
              <w:tc>
                <w:tcPr>
                  <w:tcW w:w="831" w:type="pct"/>
                  <w:vAlign w:val="center"/>
                </w:tcPr>
                <w:p>
                  <w:pPr>
                    <w:jc w:val="center"/>
                    <w:rPr>
                      <w:rFonts w:ascii="Times New Roman" w:hAnsi="Times New Roman" w:eastAsia="宋体" w:cs="Times New Roman"/>
                      <w:kern w:val="24"/>
                      <w:szCs w:val="21"/>
                    </w:rPr>
                  </w:pPr>
                  <w:r>
                    <w:rPr>
                      <w:rFonts w:hint="eastAsia" w:ascii="Times New Roman" w:hAnsi="Times New Roman" w:eastAsia="宋体" w:cs="Times New Roman"/>
                      <w:kern w:val="24"/>
                      <w:szCs w:val="21"/>
                    </w:rPr>
                    <w:t>废包装袋</w:t>
                  </w:r>
                </w:p>
              </w:tc>
              <w:tc>
                <w:tcPr>
                  <w:tcW w:w="530"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5t/a</w:t>
                  </w:r>
                </w:p>
              </w:tc>
              <w:tc>
                <w:tcPr>
                  <w:tcW w:w="1326" w:type="pc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一般固废</w:t>
                  </w:r>
                </w:p>
              </w:tc>
              <w:tc>
                <w:tcPr>
                  <w:tcW w:w="995" w:type="pct"/>
                  <w:vAlign w:val="center"/>
                </w:tcPr>
                <w:p>
                  <w:pPr>
                    <w:jc w:val="center"/>
                    <w:rPr>
                      <w:rFonts w:ascii="宋体" w:hAnsi="Times New Roman" w:eastAsia="宋体" w:cs="宋体"/>
                      <w:kern w:val="0"/>
                      <w:szCs w:val="21"/>
                    </w:rPr>
                  </w:pPr>
                  <w:r>
                    <w:rPr>
                      <w:rFonts w:hint="eastAsia" w:ascii="Times New Roman" w:hAnsi="Times New Roman" w:eastAsia="宋体" w:cs="Times New Roman"/>
                      <w:szCs w:val="21"/>
                    </w:rPr>
                    <w:t>其他废物-99</w:t>
                  </w:r>
                </w:p>
              </w:tc>
              <w:tc>
                <w:tcPr>
                  <w:tcW w:w="995" w:type="pct"/>
                  <w:vAlign w:val="center"/>
                </w:tcPr>
                <w:p>
                  <w:pPr>
                    <w:jc w:val="center"/>
                    <w:rPr>
                      <w:rFonts w:ascii="宋体" w:hAnsi="Times New Roman" w:eastAsia="宋体" w:cs="宋体"/>
                      <w:kern w:val="0"/>
                      <w:szCs w:val="21"/>
                    </w:rPr>
                  </w:pPr>
                  <w:r>
                    <w:rPr>
                      <w:rFonts w:hint="eastAsia" w:ascii="宋体" w:hAnsi="Times New Roman" w:eastAsia="宋体" w:cs="宋体"/>
                      <w:kern w:val="0"/>
                      <w:szCs w:val="21"/>
                    </w:rPr>
                    <w:t>返回废品收购站循环利用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323"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3</w:t>
                  </w:r>
                </w:p>
              </w:tc>
              <w:tc>
                <w:tcPr>
                  <w:tcW w:w="831" w:type="pct"/>
                  <w:vAlign w:val="center"/>
                </w:tcPr>
                <w:p>
                  <w:pPr>
                    <w:jc w:val="center"/>
                    <w:rPr>
                      <w:rFonts w:ascii="Times New Roman" w:hAnsi="Times New Roman" w:eastAsia="宋体" w:cs="Times New Roman"/>
                      <w:kern w:val="24"/>
                      <w:szCs w:val="21"/>
                    </w:rPr>
                  </w:pPr>
                  <w:r>
                    <w:rPr>
                      <w:rFonts w:hint="eastAsia" w:ascii="Times New Roman" w:hAnsi="Times New Roman" w:eastAsia="宋体" w:cs="Times New Roman"/>
                      <w:kern w:val="24"/>
                      <w:szCs w:val="21"/>
                    </w:rPr>
                    <w:t>植物油渣</w:t>
                  </w:r>
                </w:p>
              </w:tc>
              <w:tc>
                <w:tcPr>
                  <w:tcW w:w="530"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1t/a</w:t>
                  </w:r>
                </w:p>
              </w:tc>
              <w:tc>
                <w:tcPr>
                  <w:tcW w:w="1326" w:type="pc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一般固废</w:t>
                  </w:r>
                </w:p>
              </w:tc>
              <w:tc>
                <w:tcPr>
                  <w:tcW w:w="995" w:type="pct"/>
                  <w:vAlign w:val="center"/>
                </w:tcPr>
                <w:p>
                  <w:pPr>
                    <w:jc w:val="center"/>
                    <w:rPr>
                      <w:rFonts w:ascii="宋体" w:hAnsi="Times New Roman" w:eastAsia="宋体" w:cs="宋体"/>
                      <w:kern w:val="0"/>
                      <w:szCs w:val="21"/>
                    </w:rPr>
                  </w:pPr>
                  <w:r>
                    <w:rPr>
                      <w:rFonts w:hint="eastAsia" w:ascii="Times New Roman" w:hAnsi="Times New Roman" w:eastAsia="宋体" w:cs="Times New Roman"/>
                      <w:szCs w:val="21"/>
                    </w:rPr>
                    <w:t>其他废物-99</w:t>
                  </w:r>
                </w:p>
              </w:tc>
              <w:tc>
                <w:tcPr>
                  <w:tcW w:w="995" w:type="pct"/>
                  <w:vAlign w:val="center"/>
                </w:tcPr>
                <w:p>
                  <w:pPr>
                    <w:jc w:val="center"/>
                    <w:rPr>
                      <w:rFonts w:ascii="宋体" w:hAnsi="Times New Roman" w:eastAsia="宋体" w:cs="宋体"/>
                      <w:kern w:val="0"/>
                      <w:szCs w:val="21"/>
                    </w:rPr>
                  </w:pPr>
                  <w:r>
                    <w:rPr>
                      <w:rFonts w:hint="eastAsia" w:ascii="宋体" w:hAnsi="Times New Roman" w:eastAsia="宋体" w:cs="宋体"/>
                      <w:kern w:val="0"/>
                      <w:szCs w:val="21"/>
                    </w:rPr>
                    <w:t>定期交有处理能力的单位进行处置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323"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4</w:t>
                  </w:r>
                </w:p>
              </w:tc>
              <w:tc>
                <w:tcPr>
                  <w:tcW w:w="831" w:type="pct"/>
                  <w:vAlign w:val="center"/>
                </w:tcPr>
                <w:p>
                  <w:pPr>
                    <w:jc w:val="center"/>
                    <w:rPr>
                      <w:rFonts w:ascii="宋体" w:hAnsi="Times New Roman" w:eastAsia="宋体" w:cs="宋体"/>
                      <w:kern w:val="0"/>
                      <w:szCs w:val="21"/>
                    </w:rPr>
                  </w:pPr>
                  <w:r>
                    <w:rPr>
                      <w:rFonts w:hint="eastAsia" w:ascii="宋体" w:hAnsi="Times New Roman" w:eastAsia="宋体" w:cs="宋体"/>
                      <w:kern w:val="0"/>
                      <w:szCs w:val="21"/>
                    </w:rPr>
                    <w:t>其他材质的瓶子</w:t>
                  </w:r>
                </w:p>
              </w:tc>
              <w:tc>
                <w:tcPr>
                  <w:tcW w:w="530"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10t/a</w:t>
                  </w:r>
                </w:p>
              </w:tc>
              <w:tc>
                <w:tcPr>
                  <w:tcW w:w="1326" w:type="pc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一般固废</w:t>
                  </w:r>
                </w:p>
              </w:tc>
              <w:tc>
                <w:tcPr>
                  <w:tcW w:w="995" w:type="pct"/>
                  <w:vAlign w:val="center"/>
                </w:tcPr>
                <w:p>
                  <w:pPr>
                    <w:jc w:val="center"/>
                    <w:rPr>
                      <w:rFonts w:ascii="宋体" w:hAnsi="Times New Roman" w:eastAsia="宋体" w:cs="宋体"/>
                      <w:kern w:val="0"/>
                      <w:szCs w:val="21"/>
                    </w:rPr>
                  </w:pPr>
                  <w:r>
                    <w:rPr>
                      <w:rFonts w:hint="eastAsia" w:ascii="Times New Roman" w:hAnsi="Times New Roman" w:eastAsia="宋体" w:cs="Times New Roman"/>
                      <w:szCs w:val="21"/>
                    </w:rPr>
                    <w:t>其他废物-99</w:t>
                  </w:r>
                </w:p>
              </w:tc>
              <w:tc>
                <w:tcPr>
                  <w:tcW w:w="995" w:type="pct"/>
                  <w:vAlign w:val="center"/>
                </w:tcPr>
                <w:p>
                  <w:pPr>
                    <w:jc w:val="center"/>
                    <w:rPr>
                      <w:rFonts w:ascii="宋体" w:hAnsi="Times New Roman" w:eastAsia="宋体" w:cs="宋体"/>
                      <w:kern w:val="0"/>
                      <w:szCs w:val="21"/>
                    </w:rPr>
                  </w:pPr>
                  <w:r>
                    <w:rPr>
                      <w:rFonts w:hint="eastAsia" w:ascii="宋体" w:hAnsi="Times New Roman" w:eastAsia="宋体" w:cs="宋体"/>
                      <w:kern w:val="0"/>
                      <w:szCs w:val="21"/>
                    </w:rPr>
                    <w:t>外售给废品站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323"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5</w:t>
                  </w:r>
                </w:p>
              </w:tc>
              <w:tc>
                <w:tcPr>
                  <w:tcW w:w="831"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废机油</w:t>
                  </w:r>
                </w:p>
              </w:tc>
              <w:tc>
                <w:tcPr>
                  <w:tcW w:w="530"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0.02t/a</w:t>
                  </w:r>
                </w:p>
              </w:tc>
              <w:tc>
                <w:tcPr>
                  <w:tcW w:w="1326" w:type="pc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危险废物</w:t>
                  </w:r>
                </w:p>
              </w:tc>
              <w:tc>
                <w:tcPr>
                  <w:tcW w:w="995" w:type="pc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900-2</w:t>
                  </w:r>
                  <w:r>
                    <w:rPr>
                      <w:rFonts w:hint="eastAsia" w:ascii="Times New Roman" w:hAnsi="Times New Roman" w:eastAsia="宋体" w:cs="Times New Roman"/>
                      <w:szCs w:val="21"/>
                    </w:rPr>
                    <w:t>49</w:t>
                  </w:r>
                  <w:r>
                    <w:rPr>
                      <w:rFonts w:ascii="Times New Roman" w:hAnsi="Times New Roman" w:eastAsia="宋体" w:cs="Times New Roman"/>
                      <w:szCs w:val="21"/>
                    </w:rPr>
                    <w:t>-08</w:t>
                  </w:r>
                </w:p>
              </w:tc>
              <w:tc>
                <w:tcPr>
                  <w:tcW w:w="995" w:type="pct"/>
                  <w:vMerge w:val="restar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暂存在危废间内，定期交资质单位进行处置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323"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6</w:t>
                  </w:r>
                </w:p>
              </w:tc>
              <w:tc>
                <w:tcPr>
                  <w:tcW w:w="831"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废机油桶</w:t>
                  </w:r>
                </w:p>
              </w:tc>
              <w:tc>
                <w:tcPr>
                  <w:tcW w:w="530" w:type="pct"/>
                  <w:vAlign w:val="center"/>
                </w:tcPr>
                <w:p>
                  <w:pPr>
                    <w:jc w:val="center"/>
                    <w:rPr>
                      <w:rFonts w:ascii="Times New Roman" w:hAnsi="Times New Roman" w:eastAsia="宋体" w:cs="Times New Roman"/>
                      <w:szCs w:val="21"/>
                    </w:rPr>
                  </w:pPr>
                  <w:r>
                    <w:rPr>
                      <w:rFonts w:ascii="Times New Roman" w:hAnsi="Times New Roman" w:eastAsia="宋体" w:cs="Times New Roman"/>
                      <w:kern w:val="21"/>
                      <w:szCs w:val="21"/>
                    </w:rPr>
                    <w:t>0.0</w:t>
                  </w:r>
                  <w:r>
                    <w:rPr>
                      <w:rFonts w:hint="eastAsia" w:ascii="Times New Roman" w:hAnsi="Times New Roman" w:eastAsia="宋体" w:cs="Times New Roman"/>
                      <w:kern w:val="21"/>
                      <w:szCs w:val="21"/>
                    </w:rPr>
                    <w:t>01</w:t>
                  </w:r>
                  <w:r>
                    <w:rPr>
                      <w:rFonts w:ascii="Times New Roman" w:hAnsi="Times New Roman" w:eastAsia="宋体" w:cs="Times New Roman"/>
                      <w:kern w:val="21"/>
                      <w:szCs w:val="21"/>
                    </w:rPr>
                    <w:t>t/a</w:t>
                  </w:r>
                  <w:r>
                    <w:rPr>
                      <w:rFonts w:hint="eastAsia" w:ascii="Times New Roman" w:hAnsi="Times New Roman" w:eastAsia="宋体" w:cs="Times New Roman"/>
                      <w:szCs w:val="21"/>
                    </w:rPr>
                    <w:t xml:space="preserve"> </w:t>
                  </w:r>
                </w:p>
              </w:tc>
              <w:tc>
                <w:tcPr>
                  <w:tcW w:w="1326" w:type="pc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危险废物</w:t>
                  </w:r>
                </w:p>
              </w:tc>
              <w:tc>
                <w:tcPr>
                  <w:tcW w:w="995" w:type="pc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900-249-08</w:t>
                  </w:r>
                </w:p>
              </w:tc>
              <w:tc>
                <w:tcPr>
                  <w:tcW w:w="995" w:type="pct"/>
                  <w:vMerge w:val="continue"/>
                  <w:vAlign w:val="center"/>
                </w:tcPr>
                <w:p>
                  <w:pPr>
                    <w:jc w:val="center"/>
                    <w:rPr>
                      <w:rFonts w:ascii="Times New Roman" w:hAnsi="Times New Roman"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323"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7</w:t>
                  </w:r>
                </w:p>
              </w:tc>
              <w:tc>
                <w:tcPr>
                  <w:tcW w:w="831" w:type="pc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生活垃圾</w:t>
                  </w:r>
                </w:p>
              </w:tc>
              <w:tc>
                <w:tcPr>
                  <w:tcW w:w="530"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5.94t/a</w:t>
                  </w:r>
                </w:p>
              </w:tc>
              <w:tc>
                <w:tcPr>
                  <w:tcW w:w="1326"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995"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995" w:type="pct"/>
                  <w:vAlign w:val="center"/>
                </w:tcPr>
                <w:p>
                  <w:pPr>
                    <w:jc w:val="center"/>
                    <w:rPr>
                      <w:rFonts w:ascii="Times New Roman" w:hAnsi="Times New Roman" w:eastAsia="宋体" w:cs="Times New Roman"/>
                      <w:szCs w:val="21"/>
                    </w:rPr>
                  </w:pPr>
                  <w:r>
                    <w:rPr>
                      <w:rFonts w:ascii="Times New Roman" w:hAnsi="Times New Roman" w:eastAsia="宋体" w:cs="Times New Roman"/>
                      <w:szCs w:val="21"/>
                    </w:rPr>
                    <w:t>统一收集</w:t>
                  </w:r>
                  <w:r>
                    <w:rPr>
                      <w:rFonts w:hint="eastAsia" w:ascii="Times New Roman" w:hAnsi="Times New Roman" w:eastAsia="宋体" w:cs="Times New Roman"/>
                      <w:szCs w:val="21"/>
                    </w:rPr>
                    <w:t>，</w:t>
                  </w:r>
                  <w:r>
                    <w:rPr>
                      <w:rFonts w:ascii="Times New Roman" w:hAnsi="Times New Roman" w:eastAsia="宋体" w:cs="Times New Roman"/>
                      <w:szCs w:val="21"/>
                    </w:rPr>
                    <w:t>由环卫部门处理</w:t>
                  </w:r>
                </w:p>
              </w:tc>
            </w:tr>
          </w:tbl>
          <w:p>
            <w:pPr>
              <w:adjustRightInd w:val="0"/>
              <w:snapToGrid w:val="0"/>
              <w:spacing w:before="120" w:beforeLines="50"/>
              <w:jc w:val="center"/>
              <w:rPr>
                <w:rFonts w:ascii="Times New Roman" w:hAnsi="Times New Roman" w:eastAsia="宋体" w:cs="Times New Roman"/>
                <w:b/>
                <w:szCs w:val="24"/>
              </w:rPr>
            </w:pPr>
            <w:r>
              <w:rPr>
                <w:rFonts w:ascii="Times New Roman" w:hAnsi="Times New Roman" w:eastAsia="宋体" w:cs="Times New Roman"/>
                <w:b/>
                <w:szCs w:val="24"/>
              </w:rPr>
              <w:t>表</w:t>
            </w:r>
            <w:r>
              <w:rPr>
                <w:rFonts w:hint="eastAsia" w:ascii="Times New Roman" w:hAnsi="Times New Roman" w:eastAsia="宋体" w:cs="Times New Roman"/>
                <w:b/>
                <w:szCs w:val="24"/>
              </w:rPr>
              <w:t>29危险废物污染防治措施一览表</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93"/>
              <w:gridCol w:w="594"/>
              <w:gridCol w:w="776"/>
              <w:gridCol w:w="1196"/>
              <w:gridCol w:w="899"/>
              <w:gridCol w:w="596"/>
              <w:gridCol w:w="596"/>
              <w:gridCol w:w="596"/>
              <w:gridCol w:w="596"/>
              <w:gridCol w:w="596"/>
              <w:gridCol w:w="622"/>
              <w:gridCol w:w="6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93" w:type="dxa"/>
                  <w:vAlign w:val="center"/>
                </w:tcPr>
                <w:p>
                  <w:pPr>
                    <w:widowControl/>
                    <w:adjustRightInd w:val="0"/>
                    <w:snapToGri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序号</w:t>
                  </w:r>
                </w:p>
              </w:tc>
              <w:tc>
                <w:tcPr>
                  <w:tcW w:w="594" w:type="dxa"/>
                  <w:vAlign w:val="center"/>
                </w:tcPr>
                <w:p>
                  <w:pPr>
                    <w:widowControl/>
                    <w:adjustRightInd w:val="0"/>
                    <w:snapToGri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危险废物名称</w:t>
                  </w:r>
                </w:p>
              </w:tc>
              <w:tc>
                <w:tcPr>
                  <w:tcW w:w="776" w:type="dxa"/>
                  <w:vAlign w:val="center"/>
                </w:tcPr>
                <w:p>
                  <w:pPr>
                    <w:widowControl/>
                    <w:adjustRightInd w:val="0"/>
                    <w:snapToGri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危险废物类别</w:t>
                  </w:r>
                </w:p>
              </w:tc>
              <w:tc>
                <w:tcPr>
                  <w:tcW w:w="1196" w:type="dxa"/>
                  <w:vAlign w:val="center"/>
                </w:tcPr>
                <w:p>
                  <w:pPr>
                    <w:widowControl/>
                    <w:adjustRightInd w:val="0"/>
                    <w:snapToGri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危险废物代码</w:t>
                  </w:r>
                </w:p>
              </w:tc>
              <w:tc>
                <w:tcPr>
                  <w:tcW w:w="899" w:type="dxa"/>
                  <w:vAlign w:val="center"/>
                </w:tcPr>
                <w:p>
                  <w:pPr>
                    <w:widowControl/>
                    <w:adjustRightInd w:val="0"/>
                    <w:snapToGri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产生量</w:t>
                  </w:r>
                </w:p>
              </w:tc>
              <w:tc>
                <w:tcPr>
                  <w:tcW w:w="596" w:type="dxa"/>
                  <w:vAlign w:val="center"/>
                </w:tcPr>
                <w:p>
                  <w:pPr>
                    <w:widowControl/>
                    <w:adjustRightInd w:val="0"/>
                    <w:snapToGri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产生工序及装置</w:t>
                  </w:r>
                </w:p>
              </w:tc>
              <w:tc>
                <w:tcPr>
                  <w:tcW w:w="596" w:type="dxa"/>
                  <w:vAlign w:val="center"/>
                </w:tcPr>
                <w:p>
                  <w:pPr>
                    <w:widowControl/>
                    <w:adjustRightInd w:val="0"/>
                    <w:snapToGri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形态</w:t>
                  </w:r>
                </w:p>
              </w:tc>
              <w:tc>
                <w:tcPr>
                  <w:tcW w:w="596" w:type="dxa"/>
                  <w:vAlign w:val="center"/>
                </w:tcPr>
                <w:p>
                  <w:pPr>
                    <w:widowControl/>
                    <w:adjustRightInd w:val="0"/>
                    <w:snapToGri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主要成分</w:t>
                  </w:r>
                </w:p>
              </w:tc>
              <w:tc>
                <w:tcPr>
                  <w:tcW w:w="596" w:type="dxa"/>
                  <w:vAlign w:val="center"/>
                </w:tcPr>
                <w:p>
                  <w:pPr>
                    <w:widowControl/>
                    <w:adjustRightInd w:val="0"/>
                    <w:snapToGri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有害成分</w:t>
                  </w:r>
                </w:p>
              </w:tc>
              <w:tc>
                <w:tcPr>
                  <w:tcW w:w="596" w:type="dxa"/>
                  <w:vAlign w:val="center"/>
                </w:tcPr>
                <w:p>
                  <w:pPr>
                    <w:widowControl/>
                    <w:adjustRightInd w:val="0"/>
                    <w:snapToGri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产废周期</w:t>
                  </w:r>
                </w:p>
              </w:tc>
              <w:tc>
                <w:tcPr>
                  <w:tcW w:w="622" w:type="dxa"/>
                  <w:vAlign w:val="center"/>
                </w:tcPr>
                <w:p>
                  <w:pPr>
                    <w:widowControl/>
                    <w:adjustRightInd w:val="0"/>
                    <w:snapToGri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危险特性</w:t>
                  </w:r>
                </w:p>
              </w:tc>
              <w:tc>
                <w:tcPr>
                  <w:tcW w:w="668" w:type="dxa"/>
                  <w:vAlign w:val="center"/>
                </w:tcPr>
                <w:p>
                  <w:pPr>
                    <w:widowControl/>
                    <w:adjustRightInd w:val="0"/>
                    <w:snapToGri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污染防治措施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93" w:type="dxa"/>
                  <w:vAlign w:val="center"/>
                </w:tcPr>
                <w:p>
                  <w:pPr>
                    <w:widowControl/>
                    <w:adjustRightInd w:val="0"/>
                    <w:snapToGri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1</w:t>
                  </w:r>
                </w:p>
              </w:tc>
              <w:tc>
                <w:tcPr>
                  <w:tcW w:w="594" w:type="dxa"/>
                  <w:vAlign w:val="center"/>
                </w:tcPr>
                <w:p>
                  <w:pPr>
                    <w:snapToGrid w:val="0"/>
                    <w:jc w:val="center"/>
                    <w:rPr>
                      <w:rFonts w:ascii="Times New Roman" w:hAnsi="Times New Roman" w:eastAsia="宋体" w:cs="Times New Roman"/>
                      <w:szCs w:val="21"/>
                    </w:rPr>
                  </w:pPr>
                  <w:r>
                    <w:rPr>
                      <w:rFonts w:hint="eastAsia" w:ascii="Times New Roman" w:hAnsi="Times New Roman" w:eastAsia="宋体" w:cs="Times New Roman"/>
                      <w:szCs w:val="21"/>
                    </w:rPr>
                    <w:t>废机油</w:t>
                  </w:r>
                </w:p>
              </w:tc>
              <w:tc>
                <w:tcPr>
                  <w:tcW w:w="776" w:type="dxa"/>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HW08</w:t>
                  </w:r>
                </w:p>
              </w:tc>
              <w:tc>
                <w:tcPr>
                  <w:tcW w:w="1196" w:type="dxa"/>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900-2</w:t>
                  </w:r>
                  <w:r>
                    <w:rPr>
                      <w:rFonts w:hint="eastAsia" w:ascii="Times New Roman" w:hAnsi="Times New Roman" w:eastAsia="宋体" w:cs="Times New Roman"/>
                      <w:szCs w:val="21"/>
                    </w:rPr>
                    <w:t>49</w:t>
                  </w:r>
                  <w:r>
                    <w:rPr>
                      <w:rFonts w:ascii="Times New Roman" w:hAnsi="Times New Roman" w:eastAsia="宋体" w:cs="Times New Roman"/>
                      <w:szCs w:val="21"/>
                    </w:rPr>
                    <w:t>-08</w:t>
                  </w:r>
                </w:p>
              </w:tc>
              <w:tc>
                <w:tcPr>
                  <w:tcW w:w="899" w:type="dxa"/>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0.02t/a</w:t>
                  </w:r>
                </w:p>
              </w:tc>
              <w:tc>
                <w:tcPr>
                  <w:tcW w:w="596" w:type="dxa"/>
                  <w:vMerge w:val="restart"/>
                  <w:vAlign w:val="center"/>
                </w:tcPr>
                <w:p>
                  <w:pPr>
                    <w:widowControl/>
                    <w:adjustRightInd w:val="0"/>
                    <w:snapToGri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设备维修</w:t>
                  </w:r>
                </w:p>
              </w:tc>
              <w:tc>
                <w:tcPr>
                  <w:tcW w:w="596" w:type="dxa"/>
                  <w:vAlign w:val="center"/>
                </w:tcPr>
                <w:p>
                  <w:pPr>
                    <w:widowControl/>
                    <w:adjustRightInd w:val="0"/>
                    <w:snapToGri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固态</w:t>
                  </w:r>
                </w:p>
              </w:tc>
              <w:tc>
                <w:tcPr>
                  <w:tcW w:w="596" w:type="dxa"/>
                  <w:vAlign w:val="center"/>
                </w:tcPr>
                <w:p>
                  <w:pPr>
                    <w:widowControl/>
                    <w:adjustRightInd w:val="0"/>
                    <w:snapToGri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石油类</w:t>
                  </w:r>
                </w:p>
              </w:tc>
              <w:tc>
                <w:tcPr>
                  <w:tcW w:w="596" w:type="dxa"/>
                  <w:vAlign w:val="center"/>
                </w:tcPr>
                <w:p>
                  <w:pPr>
                    <w:widowControl/>
                    <w:adjustRightInd w:val="0"/>
                    <w:snapToGri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石油类</w:t>
                  </w:r>
                </w:p>
              </w:tc>
              <w:tc>
                <w:tcPr>
                  <w:tcW w:w="596" w:type="dxa"/>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1年</w:t>
                  </w:r>
                </w:p>
              </w:tc>
              <w:tc>
                <w:tcPr>
                  <w:tcW w:w="622" w:type="dxa"/>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T/In</w:t>
                  </w:r>
                </w:p>
              </w:tc>
              <w:tc>
                <w:tcPr>
                  <w:tcW w:w="668" w:type="dxa"/>
                  <w:vMerge w:val="restart"/>
                  <w:vAlign w:val="center"/>
                </w:tcPr>
                <w:p>
                  <w:pPr>
                    <w:widowControl/>
                    <w:adjustRightInd w:val="0"/>
                    <w:snapToGri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暂存在危废间内，定期由有资质单位外运处理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93" w:type="dxa"/>
                  <w:vAlign w:val="center"/>
                </w:tcPr>
                <w:p>
                  <w:pPr>
                    <w:widowControl/>
                    <w:adjustRightInd w:val="0"/>
                    <w:snapToGri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2</w:t>
                  </w:r>
                </w:p>
              </w:tc>
              <w:tc>
                <w:tcPr>
                  <w:tcW w:w="594" w:type="dxa"/>
                  <w:vAlign w:val="center"/>
                </w:tcPr>
                <w:p>
                  <w:pPr>
                    <w:snapToGrid w:val="0"/>
                    <w:jc w:val="center"/>
                    <w:rPr>
                      <w:rFonts w:ascii="Times New Roman" w:hAnsi="Times New Roman" w:eastAsia="宋体" w:cs="Times New Roman"/>
                      <w:szCs w:val="21"/>
                    </w:rPr>
                  </w:pPr>
                  <w:r>
                    <w:rPr>
                      <w:rFonts w:hint="eastAsia" w:ascii="Times New Roman" w:hAnsi="Times New Roman" w:eastAsia="宋体" w:cs="Times New Roman"/>
                      <w:szCs w:val="21"/>
                    </w:rPr>
                    <w:t>废机油桶</w:t>
                  </w:r>
                </w:p>
              </w:tc>
              <w:tc>
                <w:tcPr>
                  <w:tcW w:w="776" w:type="dxa"/>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HW</w:t>
                  </w:r>
                  <w:r>
                    <w:rPr>
                      <w:rFonts w:hint="eastAsia" w:ascii="Times New Roman" w:hAnsi="Times New Roman" w:eastAsia="宋体" w:cs="Times New Roman"/>
                      <w:szCs w:val="21"/>
                    </w:rPr>
                    <w:t>08</w:t>
                  </w:r>
                </w:p>
              </w:tc>
              <w:tc>
                <w:tcPr>
                  <w:tcW w:w="1196" w:type="dxa"/>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900-249-08</w:t>
                  </w:r>
                </w:p>
              </w:tc>
              <w:tc>
                <w:tcPr>
                  <w:tcW w:w="899" w:type="dxa"/>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napToGrid w:val="0"/>
                      <w:kern w:val="21"/>
                      <w:szCs w:val="21"/>
                    </w:rPr>
                    <w:t>0.0</w:t>
                  </w:r>
                  <w:r>
                    <w:rPr>
                      <w:rFonts w:hint="eastAsia" w:ascii="Times New Roman" w:hAnsi="Times New Roman" w:eastAsia="宋体" w:cs="Times New Roman"/>
                      <w:snapToGrid w:val="0"/>
                      <w:kern w:val="21"/>
                      <w:szCs w:val="21"/>
                    </w:rPr>
                    <w:t>01</w:t>
                  </w:r>
                  <w:r>
                    <w:rPr>
                      <w:rFonts w:ascii="Times New Roman" w:hAnsi="Times New Roman" w:eastAsia="宋体" w:cs="Times New Roman"/>
                      <w:snapToGrid w:val="0"/>
                      <w:kern w:val="21"/>
                      <w:szCs w:val="21"/>
                    </w:rPr>
                    <w:t>t/a</w:t>
                  </w:r>
                  <w:r>
                    <w:rPr>
                      <w:rFonts w:hint="eastAsia" w:ascii="Times New Roman" w:hAnsi="Times New Roman" w:eastAsia="宋体" w:cs="Times New Roman"/>
                      <w:szCs w:val="21"/>
                    </w:rPr>
                    <w:t xml:space="preserve"> </w:t>
                  </w:r>
                </w:p>
              </w:tc>
              <w:tc>
                <w:tcPr>
                  <w:tcW w:w="596" w:type="dxa"/>
                  <w:vMerge w:val="continue"/>
                  <w:vAlign w:val="center"/>
                </w:tcPr>
                <w:p>
                  <w:pPr>
                    <w:widowControl/>
                    <w:adjustRightInd w:val="0"/>
                    <w:snapToGrid w:val="0"/>
                    <w:jc w:val="center"/>
                    <w:textAlignment w:val="baseline"/>
                    <w:rPr>
                      <w:rFonts w:ascii="Times New Roman" w:hAnsi="Times New Roman" w:eastAsia="宋体" w:cs="Times New Roman"/>
                      <w:kern w:val="24"/>
                      <w:szCs w:val="21"/>
                    </w:rPr>
                  </w:pPr>
                </w:p>
              </w:tc>
              <w:tc>
                <w:tcPr>
                  <w:tcW w:w="596" w:type="dxa"/>
                  <w:vAlign w:val="center"/>
                </w:tcPr>
                <w:p>
                  <w:pPr>
                    <w:widowControl/>
                    <w:adjustRightInd w:val="0"/>
                    <w:snapToGri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固态</w:t>
                  </w:r>
                </w:p>
              </w:tc>
              <w:tc>
                <w:tcPr>
                  <w:tcW w:w="596" w:type="dxa"/>
                  <w:vAlign w:val="center"/>
                </w:tcPr>
                <w:p>
                  <w:pPr>
                    <w:widowControl/>
                    <w:adjustRightInd w:val="0"/>
                    <w:snapToGri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石油类</w:t>
                  </w:r>
                </w:p>
              </w:tc>
              <w:tc>
                <w:tcPr>
                  <w:tcW w:w="596" w:type="dxa"/>
                  <w:vAlign w:val="center"/>
                </w:tcPr>
                <w:p>
                  <w:pPr>
                    <w:widowControl/>
                    <w:adjustRightInd w:val="0"/>
                    <w:snapToGrid w:val="0"/>
                    <w:jc w:val="center"/>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石油类</w:t>
                  </w:r>
                </w:p>
              </w:tc>
              <w:tc>
                <w:tcPr>
                  <w:tcW w:w="596" w:type="dxa"/>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1年</w:t>
                  </w:r>
                </w:p>
                <w:p>
                  <w:pPr>
                    <w:adjustRightInd w:val="0"/>
                    <w:snapToGrid w:val="0"/>
                    <w:jc w:val="center"/>
                    <w:rPr>
                      <w:rFonts w:ascii="Times New Roman" w:hAnsi="Times New Roman" w:eastAsia="宋体" w:cs="Times New Roman"/>
                      <w:szCs w:val="21"/>
                    </w:rPr>
                  </w:pPr>
                </w:p>
              </w:tc>
              <w:tc>
                <w:tcPr>
                  <w:tcW w:w="622" w:type="dxa"/>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T/I</w:t>
                  </w:r>
                </w:p>
              </w:tc>
              <w:tc>
                <w:tcPr>
                  <w:tcW w:w="668" w:type="dxa"/>
                  <w:vMerge w:val="continue"/>
                  <w:vAlign w:val="center"/>
                </w:tcPr>
                <w:p>
                  <w:pPr>
                    <w:widowControl/>
                    <w:adjustRightInd w:val="0"/>
                    <w:snapToGrid w:val="0"/>
                    <w:jc w:val="center"/>
                    <w:textAlignment w:val="baseline"/>
                    <w:rPr>
                      <w:rFonts w:ascii="Times New Roman" w:hAnsi="Times New Roman" w:eastAsia="宋体" w:cs="Times New Roman"/>
                      <w:kern w:val="24"/>
                      <w:szCs w:val="21"/>
                    </w:rPr>
                  </w:pPr>
                </w:p>
              </w:tc>
            </w:tr>
          </w:tbl>
          <w:p>
            <w:pPr>
              <w:adjustRightInd w:val="0"/>
              <w:snapToGrid w:val="0"/>
              <w:spacing w:before="120" w:beforeLines="50"/>
              <w:jc w:val="center"/>
              <w:rPr>
                <w:rFonts w:ascii="Times New Roman" w:hAnsi="Times New Roman" w:eastAsia="宋体" w:cs="Times New Roman"/>
                <w:b/>
                <w:szCs w:val="24"/>
              </w:rPr>
            </w:pPr>
            <w:r>
              <w:rPr>
                <w:rFonts w:ascii="Times New Roman" w:hAnsi="Times New Roman" w:eastAsia="宋体" w:cs="Times New Roman"/>
                <w:b/>
                <w:szCs w:val="24"/>
              </w:rPr>
              <w:t>表</w:t>
            </w:r>
            <w:r>
              <w:rPr>
                <w:rFonts w:hint="eastAsia" w:ascii="Times New Roman" w:hAnsi="Times New Roman" w:eastAsia="宋体" w:cs="Times New Roman"/>
                <w:b/>
                <w:szCs w:val="24"/>
              </w:rPr>
              <w:t>30</w:t>
            </w:r>
            <w:r>
              <w:rPr>
                <w:rFonts w:ascii="Times New Roman" w:hAnsi="Times New Roman" w:eastAsia="宋体" w:cs="Times New Roman"/>
                <w:b/>
                <w:szCs w:val="24"/>
              </w:rPr>
              <w:t>危险废物贮存场所基本情况一览表</w:t>
            </w:r>
          </w:p>
          <w:tbl>
            <w:tblPr>
              <w:tblStyle w:val="18"/>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529"/>
              <w:gridCol w:w="739"/>
              <w:gridCol w:w="947"/>
              <w:gridCol w:w="1124"/>
              <w:gridCol w:w="1335"/>
              <w:gridCol w:w="739"/>
              <w:gridCol w:w="803"/>
              <w:gridCol w:w="739"/>
              <w:gridCol w:w="795"/>
              <w:gridCol w:w="73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序号</w:t>
                  </w:r>
                </w:p>
              </w:tc>
              <w:tc>
                <w:tcPr>
                  <w:tcW w:w="0" w:type="auto"/>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储存场所</w:t>
                  </w:r>
                </w:p>
              </w:tc>
              <w:tc>
                <w:tcPr>
                  <w:tcW w:w="0" w:type="auto"/>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危险废物名称</w:t>
                  </w:r>
                </w:p>
              </w:tc>
              <w:tc>
                <w:tcPr>
                  <w:tcW w:w="0" w:type="auto"/>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危险废物</w:t>
                  </w:r>
                  <w:r>
                    <w:rPr>
                      <w:rFonts w:ascii="Times New Roman" w:hAnsi="Times New Roman" w:eastAsia="宋体" w:cs="Times New Roman"/>
                      <w:szCs w:val="21"/>
                    </w:rPr>
                    <w:t>类别</w:t>
                  </w:r>
                </w:p>
              </w:tc>
              <w:tc>
                <w:tcPr>
                  <w:tcW w:w="0" w:type="auto"/>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危险</w:t>
                  </w:r>
                  <w:r>
                    <w:rPr>
                      <w:rFonts w:ascii="Times New Roman" w:hAnsi="Times New Roman" w:eastAsia="宋体" w:cs="Times New Roman"/>
                      <w:szCs w:val="21"/>
                    </w:rPr>
                    <w:t>废物代码</w:t>
                  </w:r>
                </w:p>
              </w:tc>
              <w:tc>
                <w:tcPr>
                  <w:tcW w:w="0" w:type="auto"/>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位置</w:t>
                  </w:r>
                </w:p>
              </w:tc>
              <w:tc>
                <w:tcPr>
                  <w:tcW w:w="0" w:type="auto"/>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占地面积</w:t>
                  </w:r>
                </w:p>
              </w:tc>
              <w:tc>
                <w:tcPr>
                  <w:tcW w:w="0" w:type="auto"/>
                  <w:tcBorders>
                    <w:top w:val="single" w:color="000000" w:sz="4" w:space="0"/>
                    <w:left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贮存方式</w:t>
                  </w:r>
                </w:p>
              </w:tc>
              <w:tc>
                <w:tcPr>
                  <w:tcW w:w="0" w:type="auto"/>
                  <w:tcBorders>
                    <w:top w:val="single" w:color="000000" w:sz="4" w:space="0"/>
                    <w:left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储存能力</w:t>
                  </w:r>
                </w:p>
              </w:tc>
              <w:tc>
                <w:tcPr>
                  <w:tcW w:w="0" w:type="auto"/>
                  <w:tcBorders>
                    <w:top w:val="single" w:color="000000" w:sz="4" w:space="0"/>
                    <w:left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储存周期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1</w:t>
                  </w:r>
                </w:p>
              </w:tc>
              <w:tc>
                <w:tcPr>
                  <w:tcW w:w="0" w:type="auto"/>
                  <w:vMerge w:val="restart"/>
                  <w:tcBorders>
                    <w:top w:val="single" w:color="000000" w:sz="4" w:space="0"/>
                    <w:left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危废间</w:t>
                  </w:r>
                </w:p>
              </w:tc>
              <w:tc>
                <w:tcPr>
                  <w:tcW w:w="0" w:type="auto"/>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废机油</w:t>
                  </w:r>
                </w:p>
              </w:tc>
              <w:tc>
                <w:tcPr>
                  <w:tcW w:w="0" w:type="auto"/>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HW08</w:t>
                  </w:r>
                </w:p>
              </w:tc>
              <w:tc>
                <w:tcPr>
                  <w:tcW w:w="0" w:type="auto"/>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900-249-08</w:t>
                  </w:r>
                </w:p>
              </w:tc>
              <w:tc>
                <w:tcPr>
                  <w:tcW w:w="0" w:type="auto"/>
                  <w:vMerge w:val="restart"/>
                  <w:tcBorders>
                    <w:top w:val="single" w:color="000000" w:sz="4" w:space="0"/>
                    <w:left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厂区东侧</w:t>
                  </w:r>
                </w:p>
              </w:tc>
              <w:tc>
                <w:tcPr>
                  <w:tcW w:w="0" w:type="auto"/>
                  <w:vMerge w:val="restart"/>
                  <w:tcBorders>
                    <w:top w:val="single" w:color="000000" w:sz="4" w:space="0"/>
                    <w:left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6m</w:t>
                  </w:r>
                  <w:r>
                    <w:rPr>
                      <w:rFonts w:hint="eastAsia" w:ascii="Times New Roman" w:hAnsi="Times New Roman" w:eastAsia="宋体" w:cs="Times New Roman"/>
                      <w:szCs w:val="21"/>
                      <w:vertAlign w:val="superscript"/>
                    </w:rPr>
                    <w:t>2</w:t>
                  </w:r>
                </w:p>
              </w:tc>
              <w:tc>
                <w:tcPr>
                  <w:tcW w:w="0" w:type="auto"/>
                  <w:tcBorders>
                    <w:left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加盖桶装</w:t>
                  </w:r>
                </w:p>
              </w:tc>
              <w:tc>
                <w:tcPr>
                  <w:tcW w:w="0" w:type="auto"/>
                  <w:tcBorders>
                    <w:left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3t</w:t>
                  </w:r>
                </w:p>
              </w:tc>
              <w:tc>
                <w:tcPr>
                  <w:tcW w:w="0" w:type="auto"/>
                  <w:tcBorders>
                    <w:left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1年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2</w:t>
                  </w:r>
                </w:p>
              </w:tc>
              <w:tc>
                <w:tcPr>
                  <w:tcW w:w="0" w:type="auto"/>
                  <w:vMerge w:val="continue"/>
                  <w:tcBorders>
                    <w:left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废机油桶</w:t>
                  </w:r>
                </w:p>
              </w:tc>
              <w:tc>
                <w:tcPr>
                  <w:tcW w:w="0" w:type="auto"/>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HW</w:t>
                  </w:r>
                  <w:r>
                    <w:rPr>
                      <w:rFonts w:hint="eastAsia" w:ascii="Times New Roman" w:hAnsi="Times New Roman" w:eastAsia="宋体" w:cs="Times New Roman"/>
                      <w:szCs w:val="21"/>
                    </w:rPr>
                    <w:t>08</w:t>
                  </w:r>
                </w:p>
              </w:tc>
              <w:tc>
                <w:tcPr>
                  <w:tcW w:w="0" w:type="auto"/>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900-249-08</w:t>
                  </w:r>
                </w:p>
              </w:tc>
              <w:tc>
                <w:tcPr>
                  <w:tcW w:w="0" w:type="auto"/>
                  <w:vMerge w:val="continue"/>
                  <w:tcBorders>
                    <w:left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p>
              </w:tc>
              <w:tc>
                <w:tcPr>
                  <w:tcW w:w="0" w:type="auto"/>
                  <w:vMerge w:val="continue"/>
                  <w:tcBorders>
                    <w:left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p>
              </w:tc>
              <w:tc>
                <w:tcPr>
                  <w:tcW w:w="0" w:type="auto"/>
                  <w:tcBorders>
                    <w:left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0" w:type="auto"/>
                  <w:tcBorders>
                    <w:left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0.1t</w:t>
                  </w:r>
                </w:p>
              </w:tc>
              <w:tc>
                <w:tcPr>
                  <w:tcW w:w="0" w:type="auto"/>
                  <w:tcBorders>
                    <w:left w:val="single" w:color="000000" w:sz="4" w:space="0"/>
                    <w:right w:val="single" w:color="000000" w:sz="4" w:space="0"/>
                  </w:tcBorders>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1年</w:t>
                  </w:r>
                </w:p>
              </w:tc>
            </w:tr>
          </w:tbl>
          <w:p>
            <w:pPr>
              <w:widowControl/>
              <w:adjustRightInd w:val="0"/>
              <w:snapToGrid w:val="0"/>
              <w:spacing w:line="360" w:lineRule="auto"/>
              <w:ind w:left="360" w:firstLine="420"/>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（3）影响分析</w:t>
            </w:r>
          </w:p>
          <w:p>
            <w:pPr>
              <w:adjustRightInd w:val="0"/>
              <w:snapToGrid w:val="0"/>
              <w:spacing w:line="360" w:lineRule="auto"/>
              <w:ind w:firstLine="420" w:firstLineChars="200"/>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①危险废物贮存场所环境影响分析</w:t>
            </w:r>
          </w:p>
          <w:p>
            <w:pPr>
              <w:adjustRightInd w:val="0"/>
              <w:snapToGrid w:val="0"/>
              <w:spacing w:line="360" w:lineRule="auto"/>
              <w:ind w:firstLine="420" w:firstLineChars="200"/>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危废间贮存能力：根据危险废物的理化性质，本项目设置1座危废间，用于储存废机油、废机油桶，面积为6m</w:t>
            </w:r>
            <w:r>
              <w:rPr>
                <w:rFonts w:hint="eastAsia" w:ascii="Times New Roman" w:hAnsi="Times New Roman" w:eastAsia="宋体" w:cs="Times New Roman"/>
                <w:snapToGrid w:val="0"/>
                <w:kern w:val="0"/>
                <w:szCs w:val="21"/>
                <w:vertAlign w:val="superscript"/>
              </w:rPr>
              <w:t>2</w:t>
            </w:r>
            <w:r>
              <w:rPr>
                <w:rFonts w:hint="eastAsia" w:ascii="Times New Roman" w:hAnsi="Times New Roman" w:eastAsia="宋体" w:cs="Times New Roman"/>
                <w:snapToGrid w:val="0"/>
                <w:kern w:val="0"/>
                <w:szCs w:val="21"/>
              </w:rPr>
              <w:t>，危废间贮存能力能够满足本项目危险废物储存需求。</w:t>
            </w:r>
          </w:p>
          <w:p>
            <w:pPr>
              <w:adjustRightInd w:val="0"/>
              <w:snapToGrid w:val="0"/>
              <w:spacing w:line="360" w:lineRule="auto"/>
              <w:ind w:firstLine="420" w:firstLineChars="200"/>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危废间选址：危废间位于产区南侧，转运便捷，远离办公区，便于危废的管理与运输。且危废间所处位置地质结构稳定，周边无居民区和易燃、易爆等危险品仓库、高压输电线路等，所以危废间的选址合理。</w:t>
            </w:r>
          </w:p>
          <w:p>
            <w:pPr>
              <w:adjustRightInd w:val="0"/>
              <w:snapToGrid w:val="0"/>
              <w:spacing w:line="360" w:lineRule="auto"/>
              <w:ind w:firstLine="420" w:firstLineChars="200"/>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贮存过程影响分析：本项目危险废物废机油桶装收集，盛放废机油的容器下设置防泄漏托盘，危险废物泄露事故发生概率较小。同时危废间</w:t>
            </w:r>
            <w:r>
              <w:rPr>
                <w:rFonts w:ascii="Times New Roman" w:hAnsi="Times New Roman" w:eastAsia="宋体" w:cs="Times New Roman"/>
                <w:snapToGrid w:val="0"/>
                <w:kern w:val="0"/>
                <w:szCs w:val="21"/>
              </w:rPr>
              <w:t>地面及30cm高裙角均铺设30cm厚混凝土地面，上铺</w:t>
            </w:r>
            <w:r>
              <w:rPr>
                <w:rFonts w:hint="eastAsia" w:ascii="Times New Roman" w:hAnsi="Times New Roman" w:eastAsia="宋体" w:cs="Times New Roman"/>
                <w:snapToGrid w:val="0"/>
                <w:kern w:val="0"/>
                <w:szCs w:val="21"/>
              </w:rPr>
              <w:t>2mm</w:t>
            </w:r>
            <w:r>
              <w:rPr>
                <w:rFonts w:ascii="Times New Roman" w:hAnsi="Times New Roman" w:eastAsia="宋体" w:cs="Times New Roman"/>
                <w:snapToGrid w:val="0"/>
                <w:kern w:val="0"/>
                <w:szCs w:val="21"/>
              </w:rPr>
              <w:t>高密度聚乙烯防渗膜，</w:t>
            </w:r>
            <w:r>
              <w:rPr>
                <w:rFonts w:hint="eastAsia" w:ascii="Times New Roman" w:hAnsi="Times New Roman" w:eastAsia="宋体" w:cs="Times New Roman"/>
                <w:snapToGrid w:val="0"/>
                <w:kern w:val="0"/>
                <w:szCs w:val="21"/>
              </w:rPr>
              <w:t>（或2mm厚的其它人工材料），再铺一层防腐涂料，</w:t>
            </w:r>
            <w:r>
              <w:rPr>
                <w:rFonts w:ascii="Times New Roman" w:hAnsi="Times New Roman" w:eastAsia="宋体" w:cs="Times New Roman"/>
                <w:snapToGrid w:val="0"/>
                <w:kern w:val="0"/>
                <w:szCs w:val="21"/>
              </w:rPr>
              <w:t>确保渗透系数K≤1×10</w:t>
            </w:r>
            <w:r>
              <w:rPr>
                <w:rFonts w:ascii="Times New Roman" w:hAnsi="Times New Roman" w:eastAsia="宋体" w:cs="Times New Roman"/>
                <w:snapToGrid w:val="0"/>
                <w:kern w:val="0"/>
                <w:szCs w:val="21"/>
                <w:vertAlign w:val="superscript"/>
              </w:rPr>
              <w:t>-10</w:t>
            </w:r>
            <w:r>
              <w:rPr>
                <w:rFonts w:ascii="Times New Roman" w:hAnsi="Times New Roman" w:eastAsia="宋体" w:cs="Times New Roman"/>
                <w:snapToGrid w:val="0"/>
                <w:kern w:val="0"/>
                <w:szCs w:val="21"/>
              </w:rPr>
              <w:t>cm/s</w:t>
            </w:r>
            <w:r>
              <w:rPr>
                <w:rFonts w:hint="eastAsia" w:ascii="Times New Roman" w:hAnsi="Times New Roman" w:eastAsia="宋体" w:cs="Times New Roman"/>
                <w:snapToGrid w:val="0"/>
                <w:kern w:val="0"/>
                <w:szCs w:val="21"/>
              </w:rPr>
              <w:t>。综上分析，危废废物在储存过程对大气环境、地下水、土壤环境影响较小。</w:t>
            </w:r>
          </w:p>
          <w:p>
            <w:pPr>
              <w:adjustRightInd w:val="0"/>
              <w:snapToGrid w:val="0"/>
              <w:spacing w:line="360" w:lineRule="auto"/>
              <w:ind w:firstLine="420" w:firstLineChars="200"/>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②危险废物运输过程的环境影响分析</w:t>
            </w:r>
          </w:p>
          <w:p>
            <w:pPr>
              <w:adjustRightInd w:val="0"/>
              <w:snapToGrid w:val="0"/>
              <w:spacing w:line="360" w:lineRule="auto"/>
              <w:ind w:firstLine="420" w:firstLineChars="200"/>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废机油产生后桶装收集，加盖密封后，厂区产废点距离危废间距离比较近，转用过程散落、泄露事故发生概率较小，转运过程轻拿轻放。</w:t>
            </w:r>
          </w:p>
          <w:p>
            <w:pPr>
              <w:tabs>
                <w:tab w:val="left" w:pos="5271"/>
              </w:tabs>
              <w:adjustRightInd w:val="0"/>
              <w:snapToGrid w:val="0"/>
              <w:spacing w:line="360" w:lineRule="auto"/>
              <w:ind w:firstLine="420" w:firstLineChars="200"/>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③委托处置的环境影响分析</w:t>
            </w:r>
            <w:r>
              <w:rPr>
                <w:rFonts w:ascii="Times New Roman" w:hAnsi="Times New Roman" w:eastAsia="宋体" w:cs="Times New Roman"/>
                <w:snapToGrid w:val="0"/>
                <w:kern w:val="0"/>
                <w:szCs w:val="21"/>
              </w:rPr>
              <w:tab/>
            </w:r>
          </w:p>
          <w:p>
            <w:pPr>
              <w:adjustRightInd w:val="0"/>
              <w:snapToGrid w:val="0"/>
              <w:spacing w:line="360" w:lineRule="auto"/>
              <w:ind w:firstLine="420" w:firstLineChars="200"/>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危险废物委托有资质单位外运处理，本市范围内拥有资质单位有能力接纳项目产生的危险废物，危险废物从厂区至资质单位的运输距离较短，外运危废均由有资质单位采用专用车辆运输，可做到运输途中不发生泄漏等二次污染的情况。</w:t>
            </w:r>
          </w:p>
          <w:p>
            <w:pPr>
              <w:adjustRightInd w:val="0"/>
              <w:snapToGrid w:val="0"/>
              <w:spacing w:line="360" w:lineRule="auto"/>
              <w:ind w:firstLine="420" w:firstLineChars="200"/>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fldChar w:fldCharType="begin"/>
            </w:r>
            <w:r>
              <w:rPr>
                <w:rFonts w:ascii="Times New Roman" w:hAnsi="Times New Roman" w:eastAsia="宋体" w:cs="Times New Roman"/>
                <w:snapToGrid w:val="0"/>
                <w:kern w:val="0"/>
                <w:szCs w:val="21"/>
              </w:rPr>
              <w:instrText xml:space="preserve"> </w:instrText>
            </w:r>
            <w:r>
              <w:rPr>
                <w:rFonts w:hint="eastAsia" w:ascii="Times New Roman" w:hAnsi="Times New Roman" w:eastAsia="宋体" w:cs="Times New Roman"/>
                <w:snapToGrid w:val="0"/>
                <w:kern w:val="0"/>
                <w:szCs w:val="21"/>
              </w:rPr>
              <w:instrText xml:space="preserve">eq \o\ac(○,</w:instrText>
            </w:r>
            <w:r>
              <w:rPr>
                <w:rFonts w:hint="eastAsia" w:ascii="Times New Roman" w:hAnsi="Times New Roman" w:eastAsia="宋体" w:cs="Times New Roman"/>
                <w:snapToGrid w:val="0"/>
                <w:kern w:val="0"/>
                <w:position w:val="2"/>
                <w:sz w:val="14"/>
                <w:szCs w:val="21"/>
              </w:rPr>
              <w:instrText xml:space="preserve">4</w:instrText>
            </w:r>
            <w:r>
              <w:rPr>
                <w:rFonts w:hint="eastAsia" w:ascii="Times New Roman" w:hAnsi="Times New Roman" w:eastAsia="宋体" w:cs="Times New Roman"/>
                <w:snapToGrid w:val="0"/>
                <w:kern w:val="0"/>
                <w:szCs w:val="21"/>
              </w:rPr>
              <w:instrText xml:space="preserve">)</w:instrText>
            </w:r>
            <w:r>
              <w:rPr>
                <w:rFonts w:ascii="Times New Roman" w:hAnsi="Times New Roman" w:eastAsia="宋体" w:cs="Times New Roman"/>
                <w:snapToGrid w:val="0"/>
                <w:kern w:val="0"/>
                <w:szCs w:val="21"/>
              </w:rPr>
              <w:fldChar w:fldCharType="end"/>
            </w:r>
            <w:r>
              <w:rPr>
                <w:rFonts w:ascii="Times New Roman" w:hAnsi="Times New Roman" w:eastAsia="宋体" w:cs="Times New Roman"/>
                <w:snapToGrid w:val="0"/>
                <w:kern w:val="0"/>
                <w:szCs w:val="21"/>
              </w:rPr>
              <w:t>管理要求</w:t>
            </w:r>
          </w:p>
          <w:p>
            <w:pPr>
              <w:adjustRightInd w:val="0"/>
              <w:snapToGrid w:val="0"/>
              <w:spacing w:line="360" w:lineRule="auto"/>
              <w:ind w:firstLine="420" w:firstLineChars="200"/>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危废间门口张贴包含所有危废的标识、标牌，危废间内对应墙上应标有标志标识，由专人进行管理，做好危险废物排放量及处置记录。在危险废物的收集、贮存、转运及处理过程中，要实行</w:t>
            </w:r>
            <w:r>
              <w:rPr>
                <w:rFonts w:ascii="Times New Roman" w:hAnsi="Times New Roman" w:eastAsia="宋体" w:cs="Times New Roman"/>
                <w:snapToGrid w:val="0"/>
                <w:kern w:val="0"/>
                <w:szCs w:val="21"/>
              </w:rPr>
              <w:t>“</w:t>
            </w:r>
            <w:r>
              <w:rPr>
                <w:rFonts w:hint="eastAsia" w:ascii="Times New Roman" w:hAnsi="Times New Roman" w:eastAsia="宋体" w:cs="Times New Roman"/>
                <w:snapToGrid w:val="0"/>
                <w:kern w:val="0"/>
                <w:szCs w:val="21"/>
              </w:rPr>
              <w:t>转移联单制度</w:t>
            </w:r>
            <w:r>
              <w:rPr>
                <w:rFonts w:ascii="Times New Roman" w:hAnsi="Times New Roman" w:eastAsia="宋体" w:cs="Times New Roman"/>
                <w:snapToGrid w:val="0"/>
                <w:kern w:val="0"/>
                <w:szCs w:val="21"/>
              </w:rPr>
              <w:t>”</w:t>
            </w:r>
            <w:r>
              <w:rPr>
                <w:rFonts w:hint="eastAsia" w:ascii="Times New Roman" w:hAnsi="Times New Roman" w:eastAsia="宋体" w:cs="Times New Roman"/>
                <w:snapToGrid w:val="0"/>
                <w:kern w:val="0"/>
                <w:szCs w:val="21"/>
              </w:rPr>
              <w:t>，登记造册，填写和保存转移联单。制定危废间相关的管理制度，负责危险废物的部门将危险废物按照报告表前述类别及时进行分类收集、包装，并将产生的危险废物种类、数量、时间等做好记录，在各生产线和危险废物收集人员、收集人员与危险废物贮存管理人员、管理人员与危险废物运输人员、运输人员与处置单位接受人员之间对于危险废物转让、接收的来源、类别、数量、时间进行转</w:t>
            </w:r>
            <w:r>
              <w:rPr>
                <w:rFonts w:ascii="Times New Roman" w:hAnsi="Times New Roman" w:eastAsia="宋体" w:cs="Times New Roman"/>
                <w:snapToGrid w:val="0"/>
                <w:kern w:val="0"/>
                <w:szCs w:val="21"/>
              </w:rPr>
              <w:t>移联单签收，确保危险废物在收集、贮存和转运过程中不被遗失。</w:t>
            </w:r>
          </w:p>
          <w:p>
            <w:pPr>
              <w:adjustRightInd w:val="0"/>
              <w:snapToGrid w:val="0"/>
              <w:spacing w:line="360" w:lineRule="auto"/>
              <w:ind w:firstLine="420" w:firstLineChars="200"/>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fldChar w:fldCharType="begin"/>
            </w:r>
            <w:r>
              <w:rPr>
                <w:rFonts w:ascii="Times New Roman" w:hAnsi="Times New Roman" w:eastAsia="宋体" w:cs="Times New Roman"/>
                <w:snapToGrid w:val="0"/>
                <w:kern w:val="0"/>
                <w:szCs w:val="21"/>
              </w:rPr>
              <w:instrText xml:space="preserve"> </w:instrText>
            </w:r>
            <w:r>
              <w:rPr>
                <w:rFonts w:hint="eastAsia" w:ascii="Times New Roman" w:hAnsi="Times New Roman" w:eastAsia="宋体" w:cs="Times New Roman"/>
                <w:snapToGrid w:val="0"/>
                <w:kern w:val="0"/>
                <w:szCs w:val="21"/>
              </w:rPr>
              <w:instrText xml:space="preserve">eq \o\ac(○,</w:instrText>
            </w:r>
            <w:r>
              <w:rPr>
                <w:rFonts w:hint="eastAsia" w:ascii="Times New Roman" w:hAnsi="Times New Roman" w:eastAsia="宋体" w:cs="Times New Roman"/>
                <w:snapToGrid w:val="0"/>
                <w:kern w:val="0"/>
                <w:position w:val="2"/>
                <w:sz w:val="14"/>
                <w:szCs w:val="21"/>
              </w:rPr>
              <w:instrText xml:space="preserve">5</w:instrText>
            </w:r>
            <w:r>
              <w:rPr>
                <w:rFonts w:hint="eastAsia" w:ascii="Times New Roman" w:hAnsi="Times New Roman" w:eastAsia="宋体" w:cs="Times New Roman"/>
                <w:snapToGrid w:val="0"/>
                <w:kern w:val="0"/>
                <w:szCs w:val="21"/>
              </w:rPr>
              <w:instrText xml:space="preserve">)</w:instrText>
            </w:r>
            <w:r>
              <w:rPr>
                <w:rFonts w:ascii="Times New Roman" w:hAnsi="Times New Roman" w:eastAsia="宋体" w:cs="Times New Roman"/>
                <w:snapToGrid w:val="0"/>
                <w:kern w:val="0"/>
                <w:szCs w:val="21"/>
              </w:rPr>
              <w:fldChar w:fldCharType="end"/>
            </w:r>
            <w:r>
              <w:rPr>
                <w:rFonts w:ascii="Times New Roman" w:hAnsi="Times New Roman" w:eastAsia="宋体" w:cs="Times New Roman"/>
                <w:snapToGrid w:val="0"/>
                <w:kern w:val="0"/>
                <w:szCs w:val="21"/>
              </w:rPr>
              <w:t>危废管理台账</w:t>
            </w:r>
          </w:p>
          <w:p>
            <w:pPr>
              <w:adjustRightInd w:val="0"/>
              <w:snapToGrid w:val="0"/>
              <w:spacing w:line="360" w:lineRule="auto"/>
              <w:ind w:firstLine="420" w:firstLineChars="200"/>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建立危险废物管理台账，台账须如实详细记录各类危险废物的种类、数量、产生环节、流向、贮存、处置情况等相关信息，确保危险废物合法利用或处置，杜绝非法流失。危险废物管理台账记录要与企业生产经营情况相互佐证，并至少保存5年。产生危险废物的单位，应当按照国家有关规定制定危险废物管理计划；建立危险废物管理台账，如实记录有关信息，并通过国家危险废物信息管理系统向所在地生态环境主管部门申报危险废物的种类、产生量、流向、贮存、处置等有关资料，不得擅自倾倒、堆放、丢弃、遗撒固体废物。危险废物管理计划应当报产生危险废物的单位所在地生态环境主管部门备案。产生、收集、贮存、运输、利用、处置固体废物的单位，应当依法及时公开固体废物污染环境防治信息，主动接受社会监督。</w:t>
            </w:r>
          </w:p>
          <w:p>
            <w:pPr>
              <w:adjustRightInd w:val="0"/>
              <w:snapToGrid w:val="0"/>
              <w:spacing w:line="360" w:lineRule="auto"/>
              <w:ind w:firstLine="420" w:firstLineChars="200"/>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综上所述，采取上述措施后，本项目产生固体废物全部综合利用或妥善处理，不会对周围环境产生明显影响。</w:t>
            </w:r>
          </w:p>
          <w:p>
            <w:pPr>
              <w:adjustRightInd w:val="0"/>
              <w:snapToGrid w:val="0"/>
              <w:spacing w:line="360" w:lineRule="auto"/>
              <w:ind w:firstLine="420" w:firstLineChars="200"/>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5、土壤环境</w:t>
            </w:r>
          </w:p>
          <w:p>
            <w:pPr>
              <w:adjustRightInd w:val="0"/>
              <w:snapToGrid w:val="0"/>
              <w:spacing w:line="360" w:lineRule="auto"/>
              <w:ind w:firstLine="420"/>
              <w:rPr>
                <w:snapToGrid w:val="0"/>
                <w:kern w:val="0"/>
                <w:szCs w:val="21"/>
              </w:rPr>
            </w:pPr>
            <w:r>
              <w:rPr>
                <w:rFonts w:hint="eastAsia"/>
                <w:snapToGrid w:val="0"/>
                <w:kern w:val="0"/>
                <w:szCs w:val="21"/>
              </w:rPr>
              <w:t>本项目位于</w:t>
            </w:r>
            <w:r>
              <w:rPr>
                <w:rFonts w:hint="eastAsia" w:ascii="Times New Roman" w:hAnsi="宋体" w:eastAsia="宋体" w:cs="Times New Roman"/>
                <w:bCs/>
                <w:szCs w:val="21"/>
              </w:rPr>
              <w:t>抚宁区留守营镇毛家营村村民委员会渤海大修厂</w:t>
            </w:r>
            <w:r>
              <w:rPr>
                <w:rFonts w:hint="eastAsia"/>
                <w:snapToGrid w:val="0"/>
                <w:kern w:val="0"/>
                <w:szCs w:val="21"/>
              </w:rPr>
              <w:t>，属于工业用地，本项目生产废水经污水处理系统处理后回用于生产，无废水外排。厂区路面做一般水泥防渗，原料以及成品等均设置在车间内。因此，废气污染物通过垂直入渗途径对土壤造成污染的可能性较小，项目运营期对土壤环境的影响较小。</w:t>
            </w:r>
          </w:p>
          <w:p>
            <w:pPr>
              <w:adjustRightInd w:val="0"/>
              <w:snapToGrid w:val="0"/>
              <w:spacing w:line="360" w:lineRule="auto"/>
              <w:ind w:firstLine="420" w:firstLineChars="200"/>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6、防腐防渗措施</w:t>
            </w:r>
          </w:p>
          <w:p>
            <w:pPr>
              <w:adjustRightInd w:val="0"/>
              <w:snapToGrid w:val="0"/>
              <w:spacing w:line="360" w:lineRule="auto"/>
              <w:ind w:firstLine="420" w:firstLineChars="200"/>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为防止事故无防渗情况下废水对浅层地下水地表土壤造成污染，项目应采取相应的防渗措施：</w:t>
            </w:r>
          </w:p>
          <w:p>
            <w:pPr>
              <w:adjustRightInd w:val="0"/>
              <w:snapToGrid w:val="0"/>
              <w:spacing w:line="360" w:lineRule="auto"/>
              <w:ind w:firstLine="420" w:firstLineChars="200"/>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①源头控制措施</w:t>
            </w:r>
          </w:p>
          <w:p>
            <w:pPr>
              <w:adjustRightInd w:val="0"/>
              <w:snapToGrid w:val="0"/>
              <w:spacing w:line="360" w:lineRule="auto"/>
              <w:ind w:firstLine="420" w:firstLineChars="200"/>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a.</w:t>
            </w:r>
            <w:r>
              <w:rPr>
                <w:rFonts w:hint="eastAsia" w:ascii="Times New Roman" w:hAnsi="Times New Roman" w:eastAsia="宋体" w:cs="Times New Roman"/>
                <w:snapToGrid w:val="0"/>
                <w:kern w:val="0"/>
                <w:szCs w:val="21"/>
              </w:rPr>
              <w:t>提高企业清洁生产水平，减少污染物产生量；</w:t>
            </w:r>
          </w:p>
          <w:p>
            <w:pPr>
              <w:adjustRightInd w:val="0"/>
              <w:snapToGrid w:val="0"/>
              <w:spacing w:line="360" w:lineRule="auto"/>
              <w:ind w:firstLine="420" w:firstLineChars="200"/>
              <w:rPr>
                <w:rFonts w:ascii="Times New Roman" w:hAnsi="Times New Roman" w:eastAsia="宋体" w:cs="Times New Roman"/>
                <w:snapToGrid w:val="0"/>
                <w:kern w:val="0"/>
                <w:szCs w:val="21"/>
              </w:rPr>
            </w:pPr>
            <w:r>
              <w:rPr>
                <w:rFonts w:ascii="Times New Roman" w:hAnsi="Times New Roman" w:eastAsia="宋体" w:cs="Times New Roman"/>
                <w:snapToGrid w:val="0"/>
                <w:kern w:val="0"/>
                <w:szCs w:val="21"/>
              </w:rPr>
              <w:t>b.</w:t>
            </w:r>
            <w:r>
              <w:rPr>
                <w:rFonts w:hint="eastAsia" w:ascii="Times New Roman" w:hAnsi="Times New Roman" w:eastAsia="宋体" w:cs="Times New Roman"/>
                <w:snapToGrid w:val="0"/>
                <w:kern w:val="0"/>
                <w:szCs w:val="21"/>
              </w:rPr>
              <w:t>加强企业日常设备、废水贮存、处理及管线等的巡检和检漏，减少污染物的跑、冒、</w:t>
            </w:r>
          </w:p>
          <w:p>
            <w:pPr>
              <w:adjustRightInd w:val="0"/>
              <w:snapToGrid w:val="0"/>
              <w:spacing w:line="360" w:lineRule="auto"/>
              <w:ind w:firstLine="420" w:firstLineChars="200"/>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滴、漏，将污染物泄漏的环境风险事故降到最低限度。</w:t>
            </w:r>
          </w:p>
          <w:p>
            <w:pPr>
              <w:adjustRightInd w:val="0"/>
              <w:snapToGrid w:val="0"/>
              <w:spacing w:line="360" w:lineRule="auto"/>
              <w:ind w:firstLine="420" w:firstLineChars="200"/>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②分区防渗措施</w:t>
            </w:r>
          </w:p>
          <w:p>
            <w:pPr>
              <w:adjustRightInd w:val="0"/>
              <w:snapToGrid w:val="0"/>
              <w:spacing w:line="360" w:lineRule="auto"/>
              <w:ind w:firstLine="420" w:firstLineChars="200"/>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依据本项目污染物产生、处理的过程，结合场区总平面布置情况，根据《环境影响评价</w:t>
            </w:r>
          </w:p>
          <w:p>
            <w:pPr>
              <w:adjustRightInd w:val="0"/>
              <w:snapToGrid w:val="0"/>
              <w:spacing w:line="360" w:lineRule="auto"/>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技术导则地下水环境》（</w:t>
            </w:r>
            <w:r>
              <w:rPr>
                <w:rFonts w:ascii="Times New Roman" w:hAnsi="Times New Roman" w:eastAsia="宋体" w:cs="Times New Roman"/>
                <w:snapToGrid w:val="0"/>
                <w:kern w:val="0"/>
                <w:szCs w:val="21"/>
              </w:rPr>
              <w:t>HJ610-2016</w:t>
            </w:r>
            <w:r>
              <w:rPr>
                <w:rFonts w:hint="eastAsia" w:ascii="Times New Roman" w:hAnsi="Times New Roman" w:eastAsia="宋体" w:cs="Times New Roman"/>
                <w:snapToGrid w:val="0"/>
                <w:kern w:val="0"/>
                <w:szCs w:val="21"/>
              </w:rPr>
              <w:t>）表</w:t>
            </w:r>
            <w:r>
              <w:rPr>
                <w:rFonts w:ascii="Times New Roman" w:hAnsi="Times New Roman" w:eastAsia="宋体" w:cs="Times New Roman"/>
                <w:snapToGrid w:val="0"/>
                <w:kern w:val="0"/>
                <w:szCs w:val="21"/>
              </w:rPr>
              <w:t>7</w:t>
            </w:r>
            <w:r>
              <w:rPr>
                <w:rFonts w:hint="eastAsia" w:ascii="Times New Roman" w:hAnsi="Times New Roman" w:eastAsia="宋体" w:cs="Times New Roman"/>
                <w:snapToGrid w:val="0"/>
                <w:kern w:val="0"/>
                <w:szCs w:val="21"/>
              </w:rPr>
              <w:t>中防渗的相关要求，厂区拟采取防渗措施：</w:t>
            </w:r>
          </w:p>
          <w:p>
            <w:pPr>
              <w:adjustRightInd w:val="0"/>
              <w:snapToGrid w:val="0"/>
              <w:jc w:val="center"/>
              <w:rPr>
                <w:rFonts w:ascii="Times New Roman" w:hAnsi="Times New Roman" w:eastAsia="宋体" w:cs="Times New Roman"/>
                <w:b/>
                <w:snapToGrid w:val="0"/>
                <w:kern w:val="0"/>
                <w:szCs w:val="21"/>
              </w:rPr>
            </w:pPr>
            <w:r>
              <w:rPr>
                <w:rFonts w:hint="eastAsia" w:ascii="Times New Roman" w:hAnsi="Times New Roman" w:eastAsia="宋体" w:cs="Times New Roman"/>
                <w:b/>
                <w:snapToGrid w:val="0"/>
                <w:kern w:val="0"/>
                <w:szCs w:val="21"/>
              </w:rPr>
              <w:t>表31  工程污染分区及防渗措施一览表</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0"/>
              <w:gridCol w:w="1698"/>
              <w:gridCol w:w="1698"/>
              <w:gridCol w:w="42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0" w:type="dxa"/>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序号</w:t>
                  </w:r>
                </w:p>
              </w:tc>
              <w:tc>
                <w:tcPr>
                  <w:tcW w:w="1698" w:type="dxa"/>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污染分区</w:t>
                  </w:r>
                </w:p>
              </w:tc>
              <w:tc>
                <w:tcPr>
                  <w:tcW w:w="1698" w:type="dxa"/>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名称</w:t>
                  </w:r>
                </w:p>
              </w:tc>
              <w:tc>
                <w:tcPr>
                  <w:tcW w:w="4253" w:type="dxa"/>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防渗技术要求。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0" w:type="dxa"/>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1</w:t>
                  </w:r>
                </w:p>
              </w:tc>
              <w:tc>
                <w:tcPr>
                  <w:tcW w:w="1698" w:type="dxa"/>
                  <w:vMerge w:val="restart"/>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重点防渗区</w:t>
                  </w:r>
                </w:p>
              </w:tc>
              <w:tc>
                <w:tcPr>
                  <w:tcW w:w="1698" w:type="dxa"/>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污水处理系统</w:t>
                  </w:r>
                </w:p>
              </w:tc>
              <w:tc>
                <w:tcPr>
                  <w:tcW w:w="4253" w:type="dxa"/>
                  <w:vMerge w:val="restart"/>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等效黏土防渗层Mb≥6.0m，渗透系数≤</w:t>
                  </w:r>
                </w:p>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1.0×10</w:t>
                  </w:r>
                  <w:r>
                    <w:rPr>
                      <w:rFonts w:hint="eastAsia" w:ascii="Times New Roman" w:hAnsi="Times New Roman" w:eastAsia="宋体" w:cs="Times New Roman"/>
                      <w:szCs w:val="21"/>
                      <w:vertAlign w:val="superscript"/>
                    </w:rPr>
                    <w:t>-7</w:t>
                  </w:r>
                  <w:r>
                    <w:rPr>
                      <w:rFonts w:hint="eastAsia" w:ascii="Times New Roman" w:hAnsi="Times New Roman" w:eastAsia="宋体" w:cs="Times New Roman"/>
                      <w:szCs w:val="21"/>
                    </w:rPr>
                    <w:t>cm/s；危废暂存间参照GB18598 执行</w:t>
                  </w:r>
                  <w:r>
                    <w:rPr>
                      <w:rFonts w:ascii="Times New Roman" w:hAnsi="Times New Roman" w:eastAsia="宋体" w:cs="Times New Roman"/>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0" w:type="dxa"/>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2</w:t>
                  </w:r>
                </w:p>
              </w:tc>
              <w:tc>
                <w:tcPr>
                  <w:tcW w:w="1698" w:type="dxa"/>
                  <w:vMerge w:val="continue"/>
                  <w:shd w:val="clear" w:color="auto" w:fill="auto"/>
                  <w:vAlign w:val="center"/>
                </w:tcPr>
                <w:p>
                  <w:pPr>
                    <w:adjustRightInd w:val="0"/>
                    <w:snapToGrid w:val="0"/>
                    <w:jc w:val="center"/>
                    <w:rPr>
                      <w:rFonts w:ascii="Times New Roman" w:hAnsi="Times New Roman" w:eastAsia="宋体" w:cs="Times New Roman"/>
                      <w:szCs w:val="21"/>
                    </w:rPr>
                  </w:pPr>
                </w:p>
              </w:tc>
              <w:tc>
                <w:tcPr>
                  <w:tcW w:w="1698" w:type="dxa"/>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危废间</w:t>
                  </w:r>
                </w:p>
              </w:tc>
              <w:tc>
                <w:tcPr>
                  <w:tcW w:w="4253" w:type="dxa"/>
                  <w:vMerge w:val="continue"/>
                  <w:shd w:val="clear" w:color="auto" w:fill="auto"/>
                  <w:vAlign w:val="center"/>
                </w:tcPr>
                <w:p>
                  <w:pPr>
                    <w:adjustRightInd w:val="0"/>
                    <w:snapToGrid w:val="0"/>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40" w:type="dxa"/>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3</w:t>
                  </w:r>
                </w:p>
              </w:tc>
              <w:tc>
                <w:tcPr>
                  <w:tcW w:w="1698" w:type="dxa"/>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一般防渗区</w:t>
                  </w:r>
                </w:p>
              </w:tc>
              <w:tc>
                <w:tcPr>
                  <w:tcW w:w="1698" w:type="dxa"/>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生产车间、库房</w:t>
                  </w:r>
                </w:p>
              </w:tc>
              <w:tc>
                <w:tcPr>
                  <w:tcW w:w="4253" w:type="dxa"/>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等效黏土防渗层Mb≥1.5m，渗透系数≤</w:t>
                  </w:r>
                </w:p>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1.0×10</w:t>
                  </w:r>
                  <w:r>
                    <w:rPr>
                      <w:rFonts w:hint="eastAsia" w:ascii="Times New Roman" w:hAnsi="Times New Roman" w:eastAsia="宋体" w:cs="Times New Roman"/>
                      <w:szCs w:val="21"/>
                      <w:vertAlign w:val="superscript"/>
                    </w:rPr>
                    <w:t>-7</w:t>
                  </w:r>
                  <w:r>
                    <w:rPr>
                      <w:rFonts w:hint="eastAsia" w:ascii="Times New Roman" w:hAnsi="Times New Roman" w:eastAsia="宋体" w:cs="Times New Roman"/>
                      <w:szCs w:val="21"/>
                    </w:rPr>
                    <w:t>cm/s；或参考GB/T50934 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0" w:type="dxa"/>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4</w:t>
                  </w:r>
                </w:p>
              </w:tc>
              <w:tc>
                <w:tcPr>
                  <w:tcW w:w="1698" w:type="dxa"/>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简单防渗区</w:t>
                  </w:r>
                </w:p>
              </w:tc>
              <w:tc>
                <w:tcPr>
                  <w:tcW w:w="1698" w:type="dxa"/>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办公区</w:t>
                  </w:r>
                </w:p>
              </w:tc>
              <w:tc>
                <w:tcPr>
                  <w:tcW w:w="4253" w:type="dxa"/>
                  <w:shd w:val="clear" w:color="auto" w:fill="auto"/>
                  <w:vAlign w:val="center"/>
                </w:tcPr>
                <w:p>
                  <w:pPr>
                    <w:autoSpaceDE w:val="0"/>
                    <w:autoSpaceDN w:val="0"/>
                    <w:adjustRightInd w:val="0"/>
                    <w:jc w:val="center"/>
                    <w:rPr>
                      <w:rFonts w:ascii="Times New Roman" w:hAnsi="Times New Roman" w:eastAsia="宋体" w:cs="Times New Roman"/>
                      <w:szCs w:val="21"/>
                    </w:rPr>
                  </w:pPr>
                  <w:r>
                    <w:rPr>
                      <w:rFonts w:hint="eastAsia" w:ascii="Times New Roman" w:hAnsi="Times New Roman" w:eastAsia="宋体" w:cs="Times New Roman"/>
                      <w:szCs w:val="21"/>
                    </w:rPr>
                    <w:t>地面硬化</w:t>
                  </w:r>
                </w:p>
              </w:tc>
            </w:tr>
          </w:tbl>
          <w:p>
            <w:pPr>
              <w:adjustRightInd w:val="0"/>
              <w:snapToGrid w:val="0"/>
              <w:spacing w:line="360" w:lineRule="auto"/>
              <w:ind w:firstLine="420" w:firstLineChars="200"/>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项目根据防渗技术要求，对其地面做防渗处理，同时提高操作人员技术水平，完善管理，</w:t>
            </w:r>
          </w:p>
          <w:p>
            <w:pPr>
              <w:adjustRightInd w:val="0"/>
              <w:snapToGrid w:val="0"/>
              <w:spacing w:line="360" w:lineRule="auto"/>
              <w:rPr>
                <w:rFonts w:ascii="Times New Roman" w:hAnsi="Times New Roman" w:eastAsia="宋体" w:cs="Times New Roman"/>
                <w:snapToGrid w:val="0"/>
                <w:kern w:val="0"/>
                <w:szCs w:val="21"/>
              </w:rPr>
            </w:pPr>
            <w:r>
              <w:rPr>
                <w:rFonts w:hint="eastAsia" w:ascii="Times New Roman" w:hAnsi="Times New Roman" w:eastAsia="宋体" w:cs="Times New Roman"/>
                <w:snapToGrid w:val="0"/>
                <w:kern w:val="0"/>
                <w:szCs w:val="21"/>
              </w:rPr>
              <w:t>建立严格的生产管理制度，遵守操作规程。采取以上措施后，可有效防止污染物通过跑、冒、滴、漏对地下水及土壤环境带来的威胁，避免加重浅层水及土壤环境的污染现状。</w:t>
            </w:r>
          </w:p>
          <w:p>
            <w:pPr>
              <w:widowControl/>
              <w:adjustRightInd w:val="0"/>
              <w:snapToGrid w:val="0"/>
              <w:spacing w:line="360" w:lineRule="auto"/>
              <w:ind w:firstLine="482"/>
              <w:textAlignment w:val="baseline"/>
              <w:rPr>
                <w:rFonts w:ascii="Times New Roman" w:hAnsi="Times New Roman" w:eastAsia="宋体" w:cs="Times New Roman"/>
                <w:kern w:val="24"/>
                <w:szCs w:val="21"/>
              </w:rPr>
            </w:pPr>
            <w:r>
              <w:rPr>
                <w:rFonts w:hint="eastAsia" w:ascii="Times New Roman" w:hAnsi="Times New Roman" w:eastAsia="宋体" w:cs="Times New Roman"/>
                <w:kern w:val="24"/>
                <w:szCs w:val="21"/>
              </w:rPr>
              <w:t>7、环境风险</w:t>
            </w:r>
          </w:p>
          <w:p>
            <w:pPr>
              <w:adjustRightInd w:val="0"/>
              <w:snapToGrid w:val="0"/>
              <w:spacing w:line="360" w:lineRule="auto"/>
              <w:ind w:firstLine="420" w:firstLineChars="200"/>
              <w:rPr>
                <w:rFonts w:ascii="Times New Roman" w:hAnsi="Times New Roman" w:eastAsia="宋体" w:cs="Times New Roman"/>
                <w:bCs/>
                <w:snapToGrid w:val="0"/>
                <w:szCs w:val="21"/>
              </w:rPr>
            </w:pPr>
            <w:r>
              <w:rPr>
                <w:rFonts w:hint="eastAsia" w:ascii="Times New Roman" w:hAnsi="Times New Roman" w:eastAsia="宋体" w:cs="Times New Roman"/>
                <w:bCs/>
                <w:snapToGrid w:val="0"/>
                <w:szCs w:val="21"/>
              </w:rPr>
              <w:t>（1） 风险源调查</w:t>
            </w:r>
          </w:p>
          <w:p>
            <w:pPr>
              <w:adjustRightInd w:val="0"/>
              <w:snapToGrid w:val="0"/>
              <w:spacing w:line="360" w:lineRule="auto"/>
              <w:ind w:firstLine="420" w:firstLineChars="200"/>
              <w:rPr>
                <w:rFonts w:ascii="Times New Roman" w:hAnsi="Times New Roman" w:eastAsia="宋体" w:cs="Times New Roman"/>
                <w:bCs/>
                <w:szCs w:val="21"/>
              </w:rPr>
            </w:pPr>
            <w:r>
              <w:rPr>
                <w:rFonts w:hint="eastAsia" w:ascii="Times New Roman" w:hAnsi="Times New Roman" w:eastAsia="宋体" w:cs="Times New Roman"/>
                <w:bCs/>
                <w:szCs w:val="21"/>
              </w:rPr>
              <w:t>本项目为废塑料加工生产项目，生产工艺简单，项目所用主要原料为废塑料，化学性质稳定，不属于《建设项目环境风险技术评价导则》（</w:t>
            </w:r>
            <w:r>
              <w:rPr>
                <w:rFonts w:ascii="Times New Roman" w:hAnsi="Times New Roman" w:eastAsia="宋体" w:cs="Times New Roman"/>
                <w:bCs/>
                <w:szCs w:val="21"/>
              </w:rPr>
              <w:t>HJ169-2018</w:t>
            </w:r>
            <w:r>
              <w:rPr>
                <w:rFonts w:hint="eastAsia" w:ascii="Times New Roman" w:hAnsi="Times New Roman" w:eastAsia="宋体" w:cs="Times New Roman"/>
                <w:bCs/>
                <w:szCs w:val="21"/>
              </w:rPr>
              <w:t>）附录</w:t>
            </w:r>
            <w:r>
              <w:rPr>
                <w:rFonts w:ascii="Times New Roman" w:hAnsi="Times New Roman" w:eastAsia="宋体" w:cs="Times New Roman"/>
                <w:bCs/>
                <w:szCs w:val="21"/>
              </w:rPr>
              <w:t>B</w:t>
            </w:r>
            <w:r>
              <w:rPr>
                <w:rFonts w:hint="eastAsia" w:ascii="Times New Roman" w:hAnsi="Times New Roman" w:eastAsia="宋体" w:cs="Times New Roman"/>
                <w:bCs/>
                <w:szCs w:val="21"/>
              </w:rPr>
              <w:t>中的危险物质，但其具有可燃性，本项目主要风险物质为机油、废机油及废机油桶，主要位于原料间和危废间内。</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（2）风险潜势初判</w:t>
            </w:r>
          </w:p>
          <w:p>
            <w:pPr>
              <w:adjustRightInd w:val="0"/>
              <w:snapToGrid w:val="0"/>
              <w:spacing w:line="360" w:lineRule="auto"/>
              <w:ind w:firstLine="420" w:firstLineChars="200"/>
              <w:rPr>
                <w:rFonts w:ascii="Times New Roman" w:hAnsi="Times New Roman" w:eastAsia="宋体" w:cs="Times New Roman"/>
                <w:snapToGrid w:val="0"/>
                <w:szCs w:val="21"/>
              </w:rPr>
            </w:pPr>
            <w:r>
              <w:rPr>
                <w:rFonts w:ascii="Times New Roman" w:hAnsi="Times New Roman" w:eastAsia="宋体" w:cs="Times New Roman"/>
                <w:snapToGrid w:val="0"/>
                <w:szCs w:val="21"/>
              </w:rPr>
              <w:t>（1）</w:t>
            </w:r>
            <w:r>
              <w:rPr>
                <w:rFonts w:hint="eastAsia" w:ascii="Times New Roman" w:hAnsi="Times New Roman" w:eastAsia="宋体" w:cs="Times New Roman"/>
                <w:snapToGrid w:val="0"/>
                <w:szCs w:val="21"/>
              </w:rPr>
              <w:t>危险物质及工艺系统危险性（P）分级</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1）危险物质数量与临界量比值（Q）</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根据《建设项目环境风险技术评价导则》（</w:t>
            </w:r>
            <w:r>
              <w:rPr>
                <w:rFonts w:ascii="Times New Roman" w:hAnsi="Times New Roman" w:eastAsia="宋体" w:cs="Times New Roman"/>
                <w:snapToGrid w:val="0"/>
                <w:szCs w:val="21"/>
              </w:rPr>
              <w:t>HJ169-2018</w:t>
            </w:r>
            <w:r>
              <w:rPr>
                <w:rFonts w:hint="eastAsia" w:ascii="Times New Roman" w:hAnsi="Times New Roman" w:eastAsia="宋体" w:cs="Times New Roman"/>
                <w:snapToGrid w:val="0"/>
                <w:szCs w:val="21"/>
              </w:rPr>
              <w:t>）附录</w:t>
            </w:r>
            <w:r>
              <w:rPr>
                <w:rFonts w:ascii="Times New Roman" w:hAnsi="Times New Roman" w:eastAsia="宋体" w:cs="Times New Roman"/>
                <w:snapToGrid w:val="0"/>
                <w:szCs w:val="21"/>
              </w:rPr>
              <w:t>C</w:t>
            </w:r>
            <w:r>
              <w:rPr>
                <w:rFonts w:hint="eastAsia" w:ascii="Times New Roman" w:hAnsi="Times New Roman" w:eastAsia="宋体" w:cs="Times New Roman"/>
                <w:snapToGrid w:val="0"/>
                <w:szCs w:val="21"/>
              </w:rPr>
              <w:t>中</w:t>
            </w:r>
            <w:r>
              <w:rPr>
                <w:rFonts w:ascii="Times New Roman" w:hAnsi="Times New Roman" w:eastAsia="宋体" w:cs="Times New Roman"/>
                <w:snapToGrid w:val="0"/>
                <w:szCs w:val="21"/>
              </w:rPr>
              <w:t>C.C.1</w:t>
            </w:r>
            <w:r>
              <w:rPr>
                <w:rFonts w:hint="eastAsia" w:ascii="Times New Roman" w:hAnsi="Times New Roman" w:eastAsia="宋体" w:cs="Times New Roman"/>
                <w:snapToGrid w:val="0"/>
                <w:szCs w:val="21"/>
              </w:rPr>
              <w:t>危险物质数量与临界量比值</w:t>
            </w:r>
            <w:r>
              <w:rPr>
                <w:rFonts w:ascii="Times New Roman" w:hAnsi="Times New Roman" w:eastAsia="宋体" w:cs="Times New Roman"/>
                <w:snapToGrid w:val="0"/>
                <w:szCs w:val="21"/>
              </w:rPr>
              <w:t>Q</w:t>
            </w:r>
            <w:r>
              <w:rPr>
                <w:rFonts w:hint="eastAsia" w:ascii="Times New Roman" w:hAnsi="Times New Roman" w:eastAsia="宋体" w:cs="Times New Roman"/>
                <w:snapToGrid w:val="0"/>
                <w:szCs w:val="21"/>
              </w:rPr>
              <w:t>的计算方法：</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计算所涉及的每种危险物质在厂界内的最大存在总量与其在附录</w:t>
            </w:r>
            <w:r>
              <w:rPr>
                <w:rFonts w:ascii="Times New Roman" w:hAnsi="Times New Roman" w:eastAsia="宋体" w:cs="Times New Roman"/>
                <w:snapToGrid w:val="0"/>
                <w:szCs w:val="21"/>
              </w:rPr>
              <w:t>B</w:t>
            </w:r>
            <w:r>
              <w:rPr>
                <w:rFonts w:hint="eastAsia" w:ascii="Times New Roman" w:hAnsi="Times New Roman" w:eastAsia="宋体" w:cs="Times New Roman"/>
                <w:snapToGrid w:val="0"/>
                <w:szCs w:val="21"/>
              </w:rPr>
              <w:t>中对应临界量的比值</w:t>
            </w:r>
            <w:r>
              <w:rPr>
                <w:rFonts w:ascii="Times New Roman" w:hAnsi="Times New Roman" w:eastAsia="宋体" w:cs="Times New Roman"/>
                <w:snapToGrid w:val="0"/>
                <w:szCs w:val="21"/>
              </w:rPr>
              <w:t>Q</w:t>
            </w:r>
            <w:r>
              <w:rPr>
                <w:rFonts w:hint="eastAsia" w:ascii="Times New Roman" w:hAnsi="Times New Roman" w:eastAsia="宋体" w:cs="Times New Roman"/>
                <w:snapToGrid w:val="0"/>
                <w:szCs w:val="21"/>
              </w:rPr>
              <w:t>。在不同厂区的同一种物质，按其在厂界内的最大存在总量计算。对于长输管线项目，按照两个截断阀室之间管段危险物质最大存在总量计算。</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当只涉及一种危险物质时，计算该物质的总量与其临界量比值，即为</w:t>
            </w:r>
            <w:r>
              <w:rPr>
                <w:rFonts w:ascii="Times New Roman" w:hAnsi="Times New Roman" w:eastAsia="宋体" w:cs="Times New Roman"/>
                <w:snapToGrid w:val="0"/>
                <w:szCs w:val="21"/>
              </w:rPr>
              <w:t>Q</w:t>
            </w:r>
            <w:r>
              <w:rPr>
                <w:rFonts w:hint="eastAsia" w:ascii="Times New Roman" w:hAnsi="Times New Roman" w:eastAsia="宋体" w:cs="Times New Roman"/>
                <w:snapToGrid w:val="0"/>
                <w:szCs w:val="21"/>
              </w:rPr>
              <w:t>，</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当存在多种危险物质时，则按下式计算物质总量与其临界量比值（</w:t>
            </w:r>
            <w:r>
              <w:rPr>
                <w:rFonts w:ascii="Times New Roman" w:hAnsi="Times New Roman" w:eastAsia="宋体" w:cs="Times New Roman"/>
                <w:snapToGrid w:val="0"/>
                <w:szCs w:val="21"/>
              </w:rPr>
              <w:t>Q</w:t>
            </w:r>
            <w:r>
              <w:rPr>
                <w:rFonts w:hint="eastAsia" w:ascii="Times New Roman" w:hAnsi="Times New Roman" w:eastAsia="宋体" w:cs="Times New Roman"/>
                <w:snapToGrid w:val="0"/>
                <w:szCs w:val="21"/>
              </w:rPr>
              <w:t>）：</w:t>
            </w:r>
          </w:p>
          <w:p>
            <w:pPr>
              <w:adjustRightInd w:val="0"/>
              <w:snapToGrid w:val="0"/>
              <w:spacing w:line="360" w:lineRule="auto"/>
              <w:ind w:firstLine="420" w:firstLineChars="200"/>
              <w:rPr>
                <w:rFonts w:ascii="Times New Roman" w:hAnsi="Times New Roman" w:eastAsia="宋体" w:cs="Times New Roman"/>
                <w:snapToGrid w:val="0"/>
                <w:szCs w:val="21"/>
              </w:rPr>
            </w:pPr>
            <w:r>
              <w:rPr>
                <w:rFonts w:ascii="Times New Roman" w:hAnsi="Times New Roman" w:eastAsia="宋体" w:cs="Times New Roman"/>
                <w:snapToGrid w:val="0"/>
                <w:szCs w:val="21"/>
              </w:rPr>
              <w:t>Q=q</w:t>
            </w:r>
            <w:r>
              <w:rPr>
                <w:rFonts w:ascii="Times New Roman" w:hAnsi="Times New Roman" w:eastAsia="宋体" w:cs="Times New Roman"/>
                <w:snapToGrid w:val="0"/>
                <w:szCs w:val="21"/>
                <w:vertAlign w:val="subscript"/>
              </w:rPr>
              <w:t>1</w:t>
            </w:r>
            <w:r>
              <w:rPr>
                <w:rFonts w:ascii="Times New Roman" w:hAnsi="Times New Roman" w:eastAsia="宋体" w:cs="Times New Roman"/>
                <w:snapToGrid w:val="0"/>
                <w:szCs w:val="21"/>
              </w:rPr>
              <w:t>/Q</w:t>
            </w:r>
            <w:r>
              <w:rPr>
                <w:rFonts w:ascii="Times New Roman" w:hAnsi="Times New Roman" w:eastAsia="宋体" w:cs="Times New Roman"/>
                <w:snapToGrid w:val="0"/>
                <w:szCs w:val="21"/>
                <w:vertAlign w:val="subscript"/>
              </w:rPr>
              <w:t>1</w:t>
            </w:r>
            <w:r>
              <w:rPr>
                <w:rFonts w:ascii="Times New Roman" w:hAnsi="Times New Roman" w:eastAsia="宋体" w:cs="Times New Roman"/>
                <w:snapToGrid w:val="0"/>
                <w:szCs w:val="21"/>
              </w:rPr>
              <w:t xml:space="preserve"> + q</w:t>
            </w:r>
            <w:r>
              <w:rPr>
                <w:rFonts w:ascii="Times New Roman" w:hAnsi="Times New Roman" w:eastAsia="宋体" w:cs="Times New Roman"/>
                <w:snapToGrid w:val="0"/>
                <w:szCs w:val="21"/>
                <w:vertAlign w:val="subscript"/>
              </w:rPr>
              <w:t>2</w:t>
            </w:r>
            <w:r>
              <w:rPr>
                <w:rFonts w:ascii="Times New Roman" w:hAnsi="Times New Roman" w:eastAsia="宋体" w:cs="Times New Roman"/>
                <w:snapToGrid w:val="0"/>
                <w:szCs w:val="21"/>
              </w:rPr>
              <w:t>/Q</w:t>
            </w:r>
            <w:r>
              <w:rPr>
                <w:rFonts w:ascii="Times New Roman" w:hAnsi="Times New Roman" w:eastAsia="宋体" w:cs="Times New Roman"/>
                <w:snapToGrid w:val="0"/>
                <w:szCs w:val="21"/>
                <w:vertAlign w:val="subscript"/>
              </w:rPr>
              <w:t>2</w:t>
            </w:r>
            <w:r>
              <w:rPr>
                <w:rFonts w:ascii="Times New Roman" w:hAnsi="Times New Roman" w:eastAsia="宋体" w:cs="Times New Roman"/>
                <w:snapToGrid w:val="0"/>
                <w:szCs w:val="21"/>
              </w:rPr>
              <w:t xml:space="preserve"> + … + qn/Qn </w:t>
            </w:r>
          </w:p>
          <w:p>
            <w:pPr>
              <w:adjustRightInd w:val="0"/>
              <w:snapToGrid w:val="0"/>
              <w:spacing w:line="360" w:lineRule="auto"/>
              <w:ind w:firstLine="420" w:firstLineChars="200"/>
              <w:rPr>
                <w:rFonts w:ascii="Times New Roman" w:hAnsi="Times New Roman" w:eastAsia="宋体" w:cs="Times New Roman"/>
                <w:snapToGrid w:val="0"/>
                <w:szCs w:val="21"/>
              </w:rPr>
            </w:pPr>
            <w:r>
              <w:rPr>
                <w:rFonts w:ascii="Times New Roman" w:hAnsi="Times New Roman" w:eastAsia="宋体" w:cs="Times New Roman"/>
                <w:snapToGrid w:val="0"/>
                <w:szCs w:val="21"/>
              </w:rPr>
              <w:t>q</w:t>
            </w:r>
            <w:r>
              <w:rPr>
                <w:rFonts w:ascii="Times New Roman" w:hAnsi="Times New Roman" w:eastAsia="宋体" w:cs="Times New Roman"/>
                <w:snapToGrid w:val="0"/>
                <w:szCs w:val="21"/>
                <w:vertAlign w:val="subscript"/>
              </w:rPr>
              <w:t>1</w:t>
            </w:r>
            <w:r>
              <w:rPr>
                <w:rFonts w:hint="eastAsia" w:ascii="Times New Roman" w:hAnsi="Times New Roman" w:eastAsia="宋体" w:cs="Times New Roman"/>
                <w:snapToGrid w:val="0"/>
                <w:szCs w:val="21"/>
              </w:rPr>
              <w:t>、</w:t>
            </w:r>
            <w:r>
              <w:rPr>
                <w:rFonts w:ascii="Times New Roman" w:hAnsi="Times New Roman" w:eastAsia="宋体" w:cs="Times New Roman"/>
                <w:snapToGrid w:val="0"/>
                <w:szCs w:val="21"/>
              </w:rPr>
              <w:t>q</w:t>
            </w:r>
            <w:r>
              <w:rPr>
                <w:rFonts w:ascii="Times New Roman" w:hAnsi="Times New Roman" w:eastAsia="宋体" w:cs="Times New Roman"/>
                <w:snapToGrid w:val="0"/>
                <w:szCs w:val="21"/>
                <w:vertAlign w:val="subscript"/>
              </w:rPr>
              <w:t>2</w:t>
            </w:r>
            <w:r>
              <w:rPr>
                <w:rFonts w:ascii="Times New Roman" w:hAnsi="Times New Roman" w:eastAsia="宋体" w:cs="Times New Roman"/>
                <w:snapToGrid w:val="0"/>
                <w:szCs w:val="21"/>
              </w:rPr>
              <w:t>……qn——</w:t>
            </w:r>
            <w:r>
              <w:rPr>
                <w:rFonts w:hint="eastAsia" w:ascii="Times New Roman" w:hAnsi="Times New Roman" w:eastAsia="宋体" w:cs="Times New Roman"/>
                <w:snapToGrid w:val="0"/>
                <w:szCs w:val="21"/>
              </w:rPr>
              <w:t>每种危险物质的最大存在量，</w:t>
            </w:r>
            <w:r>
              <w:rPr>
                <w:rFonts w:ascii="Times New Roman" w:hAnsi="Times New Roman" w:eastAsia="宋体" w:cs="Times New Roman"/>
                <w:snapToGrid w:val="0"/>
                <w:szCs w:val="21"/>
              </w:rPr>
              <w:t>t</w:t>
            </w:r>
            <w:r>
              <w:rPr>
                <w:rFonts w:hint="eastAsia" w:ascii="Times New Roman" w:hAnsi="Times New Roman" w:eastAsia="宋体" w:cs="Times New Roman"/>
                <w:snapToGrid w:val="0"/>
                <w:szCs w:val="21"/>
              </w:rPr>
              <w:t>；</w:t>
            </w:r>
          </w:p>
          <w:p>
            <w:pPr>
              <w:adjustRightInd w:val="0"/>
              <w:snapToGrid w:val="0"/>
              <w:spacing w:line="360" w:lineRule="auto"/>
              <w:ind w:firstLine="420" w:firstLineChars="200"/>
              <w:rPr>
                <w:rFonts w:ascii="Times New Roman" w:hAnsi="Times New Roman" w:eastAsia="宋体" w:cs="Times New Roman"/>
                <w:snapToGrid w:val="0"/>
                <w:szCs w:val="21"/>
              </w:rPr>
            </w:pPr>
            <w:r>
              <w:rPr>
                <w:rFonts w:ascii="Times New Roman" w:hAnsi="Times New Roman" w:eastAsia="宋体" w:cs="Times New Roman"/>
                <w:snapToGrid w:val="0"/>
                <w:szCs w:val="21"/>
              </w:rPr>
              <w:t>Q</w:t>
            </w:r>
            <w:r>
              <w:rPr>
                <w:rFonts w:ascii="Times New Roman" w:hAnsi="Times New Roman" w:eastAsia="宋体" w:cs="Times New Roman"/>
                <w:snapToGrid w:val="0"/>
                <w:szCs w:val="21"/>
                <w:vertAlign w:val="subscript"/>
              </w:rPr>
              <w:t>1</w:t>
            </w:r>
            <w:r>
              <w:rPr>
                <w:rFonts w:hint="eastAsia" w:ascii="Times New Roman" w:hAnsi="Times New Roman" w:eastAsia="宋体" w:cs="Times New Roman"/>
                <w:snapToGrid w:val="0"/>
                <w:szCs w:val="21"/>
              </w:rPr>
              <w:t>、</w:t>
            </w:r>
            <w:r>
              <w:rPr>
                <w:rFonts w:ascii="Times New Roman" w:hAnsi="Times New Roman" w:eastAsia="宋体" w:cs="Times New Roman"/>
                <w:snapToGrid w:val="0"/>
                <w:szCs w:val="21"/>
              </w:rPr>
              <w:t>Q</w:t>
            </w:r>
            <w:r>
              <w:rPr>
                <w:rFonts w:ascii="Times New Roman" w:hAnsi="Times New Roman" w:eastAsia="宋体" w:cs="Times New Roman"/>
                <w:snapToGrid w:val="0"/>
                <w:szCs w:val="21"/>
                <w:vertAlign w:val="subscript"/>
              </w:rPr>
              <w:t>2</w:t>
            </w:r>
            <w:r>
              <w:rPr>
                <w:rFonts w:ascii="Times New Roman" w:hAnsi="Times New Roman" w:eastAsia="宋体" w:cs="Times New Roman"/>
                <w:snapToGrid w:val="0"/>
                <w:szCs w:val="21"/>
              </w:rPr>
              <w:t>……Qn——</w:t>
            </w:r>
            <w:r>
              <w:rPr>
                <w:rFonts w:hint="eastAsia" w:ascii="Times New Roman" w:hAnsi="Times New Roman" w:eastAsia="宋体" w:cs="Times New Roman"/>
                <w:snapToGrid w:val="0"/>
                <w:szCs w:val="21"/>
              </w:rPr>
              <w:t>每种物质的临界量，</w:t>
            </w:r>
            <w:r>
              <w:rPr>
                <w:rFonts w:ascii="Times New Roman" w:hAnsi="Times New Roman" w:eastAsia="宋体" w:cs="Times New Roman"/>
                <w:snapToGrid w:val="0"/>
                <w:szCs w:val="21"/>
              </w:rPr>
              <w:t>t</w:t>
            </w:r>
            <w:r>
              <w:rPr>
                <w:rFonts w:hint="eastAsia" w:ascii="Times New Roman" w:hAnsi="Times New Roman" w:eastAsia="宋体" w:cs="Times New Roman"/>
                <w:snapToGrid w:val="0"/>
                <w:szCs w:val="21"/>
              </w:rPr>
              <w:t>。</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当</w:t>
            </w:r>
            <w:r>
              <w:rPr>
                <w:rFonts w:ascii="Times New Roman" w:hAnsi="Times New Roman" w:eastAsia="宋体" w:cs="Times New Roman"/>
                <w:snapToGrid w:val="0"/>
                <w:szCs w:val="21"/>
              </w:rPr>
              <w:t>Q</w:t>
            </w:r>
            <w:r>
              <w:rPr>
                <w:rFonts w:hint="eastAsia" w:ascii="Times New Roman" w:hAnsi="Times New Roman" w:eastAsia="宋体" w:cs="Times New Roman"/>
                <w:snapToGrid w:val="0"/>
                <w:szCs w:val="21"/>
              </w:rPr>
              <w:t>＜</w:t>
            </w:r>
            <w:r>
              <w:rPr>
                <w:rFonts w:ascii="Times New Roman" w:hAnsi="Times New Roman" w:eastAsia="宋体" w:cs="Times New Roman"/>
                <w:snapToGrid w:val="0"/>
                <w:szCs w:val="21"/>
              </w:rPr>
              <w:t>1</w:t>
            </w:r>
            <w:r>
              <w:rPr>
                <w:rFonts w:hint="eastAsia" w:ascii="Times New Roman" w:hAnsi="Times New Roman" w:eastAsia="宋体" w:cs="Times New Roman"/>
                <w:snapToGrid w:val="0"/>
                <w:szCs w:val="21"/>
              </w:rPr>
              <w:t>时，该项目环境风险潜势为Ⅰ。</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当</w:t>
            </w:r>
            <w:r>
              <w:rPr>
                <w:rFonts w:ascii="Times New Roman" w:hAnsi="Times New Roman" w:eastAsia="宋体" w:cs="Times New Roman"/>
                <w:snapToGrid w:val="0"/>
                <w:szCs w:val="21"/>
              </w:rPr>
              <w:t>Q≥1</w:t>
            </w:r>
            <w:r>
              <w:rPr>
                <w:rFonts w:hint="eastAsia" w:ascii="Times New Roman" w:hAnsi="Times New Roman" w:eastAsia="宋体" w:cs="Times New Roman"/>
                <w:snapToGrid w:val="0"/>
                <w:szCs w:val="21"/>
              </w:rPr>
              <w:t>时，将</w:t>
            </w:r>
            <w:r>
              <w:rPr>
                <w:rFonts w:ascii="Times New Roman" w:hAnsi="Times New Roman" w:eastAsia="宋体" w:cs="Times New Roman"/>
                <w:snapToGrid w:val="0"/>
                <w:szCs w:val="21"/>
              </w:rPr>
              <w:t>Q</w:t>
            </w:r>
            <w:r>
              <w:rPr>
                <w:rFonts w:hint="eastAsia" w:ascii="Times New Roman" w:hAnsi="Times New Roman" w:eastAsia="宋体" w:cs="Times New Roman"/>
                <w:snapToGrid w:val="0"/>
                <w:szCs w:val="21"/>
              </w:rPr>
              <w:t>值划分为：（</w:t>
            </w:r>
            <w:r>
              <w:rPr>
                <w:rFonts w:ascii="Times New Roman" w:hAnsi="Times New Roman" w:eastAsia="宋体" w:cs="Times New Roman"/>
                <w:snapToGrid w:val="0"/>
                <w:szCs w:val="21"/>
              </w:rPr>
              <w:t>1</w:t>
            </w:r>
            <w:r>
              <w:rPr>
                <w:rFonts w:hint="eastAsia" w:ascii="Times New Roman" w:hAnsi="Times New Roman" w:eastAsia="宋体" w:cs="Times New Roman"/>
                <w:snapToGrid w:val="0"/>
                <w:szCs w:val="21"/>
              </w:rPr>
              <w:t>）</w:t>
            </w:r>
            <w:r>
              <w:rPr>
                <w:rFonts w:ascii="Times New Roman" w:hAnsi="Times New Roman" w:eastAsia="宋体" w:cs="Times New Roman"/>
                <w:snapToGrid w:val="0"/>
                <w:szCs w:val="21"/>
              </w:rPr>
              <w:t>1≤Q</w:t>
            </w:r>
            <w:r>
              <w:rPr>
                <w:rFonts w:hint="eastAsia" w:ascii="Times New Roman" w:hAnsi="Times New Roman" w:eastAsia="宋体" w:cs="Times New Roman"/>
                <w:snapToGrid w:val="0"/>
                <w:szCs w:val="21"/>
              </w:rPr>
              <w:t>＜</w:t>
            </w:r>
            <w:r>
              <w:rPr>
                <w:rFonts w:ascii="Times New Roman" w:hAnsi="Times New Roman" w:eastAsia="宋体" w:cs="Times New Roman"/>
                <w:snapToGrid w:val="0"/>
                <w:szCs w:val="21"/>
              </w:rPr>
              <w:t>10</w:t>
            </w:r>
            <w:r>
              <w:rPr>
                <w:rFonts w:hint="eastAsia" w:ascii="Times New Roman" w:hAnsi="Times New Roman" w:eastAsia="宋体" w:cs="Times New Roman"/>
                <w:snapToGrid w:val="0"/>
                <w:szCs w:val="21"/>
              </w:rPr>
              <w:t>；（</w:t>
            </w:r>
            <w:r>
              <w:rPr>
                <w:rFonts w:ascii="Times New Roman" w:hAnsi="Times New Roman" w:eastAsia="宋体" w:cs="Times New Roman"/>
                <w:snapToGrid w:val="0"/>
                <w:szCs w:val="21"/>
              </w:rPr>
              <w:t>2</w:t>
            </w:r>
            <w:r>
              <w:rPr>
                <w:rFonts w:hint="eastAsia" w:ascii="Times New Roman" w:hAnsi="Times New Roman" w:eastAsia="宋体" w:cs="Times New Roman"/>
                <w:snapToGrid w:val="0"/>
                <w:szCs w:val="21"/>
              </w:rPr>
              <w:t>）</w:t>
            </w:r>
            <w:r>
              <w:rPr>
                <w:rFonts w:ascii="Times New Roman" w:hAnsi="Times New Roman" w:eastAsia="宋体" w:cs="Times New Roman"/>
                <w:snapToGrid w:val="0"/>
                <w:szCs w:val="21"/>
              </w:rPr>
              <w:t>10≤Q</w:t>
            </w:r>
            <w:r>
              <w:rPr>
                <w:rFonts w:hint="eastAsia" w:ascii="Times New Roman" w:hAnsi="Times New Roman" w:eastAsia="宋体" w:cs="Times New Roman"/>
                <w:snapToGrid w:val="0"/>
                <w:szCs w:val="21"/>
              </w:rPr>
              <w:t>＜</w:t>
            </w:r>
            <w:r>
              <w:rPr>
                <w:rFonts w:ascii="Times New Roman" w:hAnsi="Times New Roman" w:eastAsia="宋体" w:cs="Times New Roman"/>
                <w:snapToGrid w:val="0"/>
                <w:szCs w:val="21"/>
              </w:rPr>
              <w:t>100</w:t>
            </w:r>
            <w:r>
              <w:rPr>
                <w:rFonts w:hint="eastAsia" w:ascii="Times New Roman" w:hAnsi="Times New Roman" w:eastAsia="宋体" w:cs="Times New Roman"/>
                <w:snapToGrid w:val="0"/>
                <w:szCs w:val="21"/>
              </w:rPr>
              <w:t>；（</w:t>
            </w:r>
            <w:r>
              <w:rPr>
                <w:rFonts w:ascii="Times New Roman" w:hAnsi="Times New Roman" w:eastAsia="宋体" w:cs="Times New Roman"/>
                <w:snapToGrid w:val="0"/>
                <w:szCs w:val="21"/>
              </w:rPr>
              <w:t>3</w:t>
            </w:r>
            <w:r>
              <w:rPr>
                <w:rFonts w:hint="eastAsia" w:ascii="Times New Roman" w:hAnsi="Times New Roman" w:eastAsia="宋体" w:cs="Times New Roman"/>
                <w:snapToGrid w:val="0"/>
                <w:szCs w:val="21"/>
              </w:rPr>
              <w:t>）</w:t>
            </w:r>
            <w:r>
              <w:rPr>
                <w:rFonts w:ascii="Times New Roman" w:hAnsi="Times New Roman" w:eastAsia="宋体" w:cs="Times New Roman"/>
                <w:snapToGrid w:val="0"/>
                <w:szCs w:val="21"/>
              </w:rPr>
              <w:t>Q≥100</w:t>
            </w:r>
            <w:r>
              <w:rPr>
                <w:rFonts w:hint="eastAsia" w:ascii="Times New Roman" w:hAnsi="Times New Roman" w:eastAsia="宋体" w:cs="Times New Roman"/>
                <w:snapToGrid w:val="0"/>
                <w:szCs w:val="21"/>
              </w:rPr>
              <w:t>。</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本项目设计的危险物质为废机油，最大贮存量为0.02t。</w:t>
            </w:r>
          </w:p>
          <w:p>
            <w:pPr>
              <w:adjustRightInd w:val="0"/>
              <w:snapToGrid w:val="0"/>
              <w:spacing w:before="120" w:beforeLines="50"/>
              <w:jc w:val="center"/>
              <w:rPr>
                <w:rFonts w:ascii="Times New Roman" w:hAnsi="Times New Roman" w:eastAsia="宋体" w:cs="Times New Roman"/>
                <w:b/>
                <w:snapToGrid w:val="0"/>
                <w:szCs w:val="24"/>
              </w:rPr>
            </w:pPr>
            <w:r>
              <w:rPr>
                <w:rFonts w:hint="eastAsia" w:ascii="Times New Roman" w:hAnsi="Times New Roman" w:eastAsia="宋体" w:cs="Times New Roman"/>
                <w:b/>
                <w:snapToGrid w:val="0"/>
                <w:szCs w:val="24"/>
              </w:rPr>
              <w:t>表32建设项目Q值确定表</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5"/>
              <w:gridCol w:w="1499"/>
              <w:gridCol w:w="1466"/>
              <w:gridCol w:w="1675"/>
              <w:gridCol w:w="1289"/>
              <w:gridCol w:w="18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8" w:hRule="atLeast"/>
                <w:jc w:val="center"/>
              </w:trPr>
              <w:tc>
                <w:tcPr>
                  <w:tcW w:w="705" w:type="dxa"/>
                  <w:vAlign w:val="center"/>
                </w:tcPr>
                <w:p>
                  <w:pPr>
                    <w:adjustRightInd w:val="0"/>
                    <w:snapToGrid w:val="0"/>
                    <w:jc w:val="center"/>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序号</w:t>
                  </w:r>
                </w:p>
              </w:tc>
              <w:tc>
                <w:tcPr>
                  <w:tcW w:w="1499" w:type="dxa"/>
                  <w:vAlign w:val="center"/>
                </w:tcPr>
                <w:p>
                  <w:pPr>
                    <w:adjustRightInd w:val="0"/>
                    <w:snapToGrid w:val="0"/>
                    <w:jc w:val="center"/>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危险物质名称</w:t>
                  </w:r>
                </w:p>
              </w:tc>
              <w:tc>
                <w:tcPr>
                  <w:tcW w:w="1466" w:type="dxa"/>
                  <w:vAlign w:val="center"/>
                </w:tcPr>
                <w:p>
                  <w:pPr>
                    <w:adjustRightInd w:val="0"/>
                    <w:snapToGrid w:val="0"/>
                    <w:jc w:val="center"/>
                    <w:rPr>
                      <w:rFonts w:ascii="Times New Roman" w:hAnsi="Times New Roman" w:eastAsia="宋体" w:cs="Times New Roman"/>
                      <w:snapToGrid w:val="0"/>
                      <w:szCs w:val="21"/>
                    </w:rPr>
                  </w:pPr>
                  <w:r>
                    <w:rPr>
                      <w:rFonts w:ascii="Times New Roman" w:hAnsi="Times New Roman" w:eastAsia="宋体" w:cs="Times New Roman"/>
                      <w:snapToGrid w:val="0"/>
                      <w:szCs w:val="21"/>
                    </w:rPr>
                    <w:t>CAS</w:t>
                  </w:r>
                  <w:r>
                    <w:rPr>
                      <w:rFonts w:hint="eastAsia" w:ascii="Times New Roman" w:hAnsi="Times New Roman" w:eastAsia="宋体" w:cs="Times New Roman"/>
                      <w:snapToGrid w:val="0"/>
                      <w:szCs w:val="21"/>
                    </w:rPr>
                    <w:t>号</w:t>
                  </w:r>
                </w:p>
              </w:tc>
              <w:tc>
                <w:tcPr>
                  <w:tcW w:w="1675" w:type="dxa"/>
                  <w:vAlign w:val="center"/>
                </w:tcPr>
                <w:p>
                  <w:pPr>
                    <w:adjustRightInd w:val="0"/>
                    <w:snapToGrid w:val="0"/>
                    <w:jc w:val="center"/>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最大存在总量</w:t>
                  </w:r>
                  <w:r>
                    <w:rPr>
                      <w:rFonts w:ascii="Times New Roman" w:hAnsi="Times New Roman" w:eastAsia="宋体" w:cs="Times New Roman"/>
                      <w:snapToGrid w:val="0"/>
                      <w:szCs w:val="21"/>
                    </w:rPr>
                    <w:t>q</w:t>
                  </w:r>
                  <w:r>
                    <w:rPr>
                      <w:rFonts w:ascii="Times New Roman" w:hAnsi="Times New Roman" w:eastAsia="宋体" w:cs="Times New Roman"/>
                      <w:snapToGrid w:val="0"/>
                      <w:szCs w:val="21"/>
                      <w:vertAlign w:val="subscript"/>
                    </w:rPr>
                    <w:t>n</w:t>
                  </w:r>
                  <w:r>
                    <w:rPr>
                      <w:rFonts w:ascii="Times New Roman" w:hAnsi="Times New Roman" w:eastAsia="宋体" w:cs="Times New Roman"/>
                      <w:snapToGrid w:val="0"/>
                      <w:szCs w:val="21"/>
                    </w:rPr>
                    <w:t>/t</w:t>
                  </w:r>
                </w:p>
              </w:tc>
              <w:tc>
                <w:tcPr>
                  <w:tcW w:w="1289" w:type="dxa"/>
                  <w:vAlign w:val="center"/>
                </w:tcPr>
                <w:p>
                  <w:pPr>
                    <w:adjustRightInd w:val="0"/>
                    <w:snapToGrid w:val="0"/>
                    <w:jc w:val="center"/>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临界量</w:t>
                  </w:r>
                  <w:r>
                    <w:rPr>
                      <w:rFonts w:ascii="Times New Roman" w:hAnsi="Times New Roman" w:eastAsia="宋体" w:cs="Times New Roman"/>
                      <w:snapToGrid w:val="0"/>
                      <w:szCs w:val="21"/>
                    </w:rPr>
                    <w:t>Q</w:t>
                  </w:r>
                  <w:r>
                    <w:rPr>
                      <w:rFonts w:ascii="Times New Roman" w:hAnsi="Times New Roman" w:eastAsia="宋体" w:cs="Times New Roman"/>
                      <w:snapToGrid w:val="0"/>
                      <w:szCs w:val="21"/>
                      <w:vertAlign w:val="subscript"/>
                    </w:rPr>
                    <w:t>n</w:t>
                  </w:r>
                  <w:r>
                    <w:rPr>
                      <w:rFonts w:ascii="Times New Roman" w:hAnsi="Times New Roman" w:eastAsia="宋体" w:cs="Times New Roman"/>
                      <w:snapToGrid w:val="0"/>
                      <w:szCs w:val="21"/>
                    </w:rPr>
                    <w:t>/t</w:t>
                  </w:r>
                </w:p>
              </w:tc>
              <w:tc>
                <w:tcPr>
                  <w:tcW w:w="1855" w:type="dxa"/>
                  <w:vAlign w:val="center"/>
                </w:tcPr>
                <w:p>
                  <w:pPr>
                    <w:adjustRightInd w:val="0"/>
                    <w:snapToGrid w:val="0"/>
                    <w:jc w:val="center"/>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该种危险物质</w:t>
                  </w:r>
                  <w:r>
                    <w:rPr>
                      <w:rFonts w:ascii="Times New Roman" w:hAnsi="Times New Roman" w:eastAsia="宋体" w:cs="Times New Roman"/>
                      <w:snapToGrid w:val="0"/>
                      <w:szCs w:val="21"/>
                    </w:rPr>
                    <w:t>Q</w:t>
                  </w:r>
                  <w:r>
                    <w:rPr>
                      <w:rFonts w:hint="eastAsia" w:ascii="Times New Roman" w:hAnsi="Times New Roman" w:eastAsia="宋体" w:cs="Times New Roman"/>
                      <w:snapToGrid w:val="0"/>
                      <w:szCs w:val="21"/>
                    </w:rPr>
                    <w:t>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05" w:type="dxa"/>
                  <w:vAlign w:val="center"/>
                </w:tcPr>
                <w:p>
                  <w:pPr>
                    <w:adjustRightInd w:val="0"/>
                    <w:snapToGrid w:val="0"/>
                    <w:jc w:val="center"/>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1</w:t>
                  </w:r>
                </w:p>
              </w:tc>
              <w:tc>
                <w:tcPr>
                  <w:tcW w:w="1499" w:type="dxa"/>
                  <w:vAlign w:val="center"/>
                </w:tcPr>
                <w:p>
                  <w:pPr>
                    <w:adjustRightInd w:val="0"/>
                    <w:snapToGrid w:val="0"/>
                    <w:jc w:val="center"/>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废机油</w:t>
                  </w:r>
                </w:p>
              </w:tc>
              <w:tc>
                <w:tcPr>
                  <w:tcW w:w="1466" w:type="dxa"/>
                  <w:vAlign w:val="center"/>
                </w:tcPr>
                <w:p>
                  <w:pPr>
                    <w:adjustRightInd w:val="0"/>
                    <w:snapToGrid w:val="0"/>
                    <w:jc w:val="center"/>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w:t>
                  </w:r>
                </w:p>
              </w:tc>
              <w:tc>
                <w:tcPr>
                  <w:tcW w:w="1675" w:type="dxa"/>
                  <w:vAlign w:val="center"/>
                </w:tcPr>
                <w:p>
                  <w:pPr>
                    <w:adjustRightInd w:val="0"/>
                    <w:snapToGrid w:val="0"/>
                    <w:jc w:val="center"/>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0.02</w:t>
                  </w:r>
                </w:p>
              </w:tc>
              <w:tc>
                <w:tcPr>
                  <w:tcW w:w="1289" w:type="dxa"/>
                  <w:vAlign w:val="center"/>
                </w:tcPr>
                <w:p>
                  <w:pPr>
                    <w:adjustRightInd w:val="0"/>
                    <w:snapToGrid w:val="0"/>
                    <w:jc w:val="center"/>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50</w:t>
                  </w:r>
                </w:p>
              </w:tc>
              <w:tc>
                <w:tcPr>
                  <w:tcW w:w="1855" w:type="dxa"/>
                  <w:vAlign w:val="center"/>
                </w:tcPr>
                <w:p>
                  <w:pPr>
                    <w:adjustRightInd w:val="0"/>
                    <w:snapToGrid w:val="0"/>
                    <w:jc w:val="center"/>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0.0004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05" w:type="dxa"/>
                  <w:vAlign w:val="center"/>
                </w:tcPr>
                <w:p>
                  <w:pPr>
                    <w:adjustRightInd w:val="0"/>
                    <w:snapToGrid w:val="0"/>
                    <w:jc w:val="center"/>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2</w:t>
                  </w:r>
                </w:p>
              </w:tc>
              <w:tc>
                <w:tcPr>
                  <w:tcW w:w="1499" w:type="dxa"/>
                  <w:vAlign w:val="center"/>
                </w:tcPr>
                <w:p>
                  <w:pPr>
                    <w:adjustRightInd w:val="0"/>
                    <w:snapToGrid w:val="0"/>
                    <w:jc w:val="center"/>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机油</w:t>
                  </w:r>
                </w:p>
              </w:tc>
              <w:tc>
                <w:tcPr>
                  <w:tcW w:w="1466" w:type="dxa"/>
                  <w:vAlign w:val="center"/>
                </w:tcPr>
                <w:p>
                  <w:pPr>
                    <w:adjustRightInd w:val="0"/>
                    <w:snapToGrid w:val="0"/>
                    <w:jc w:val="center"/>
                    <w:rPr>
                      <w:rFonts w:ascii="Times New Roman" w:hAnsi="Times New Roman" w:eastAsia="宋体" w:cs="Times New Roman"/>
                      <w:snapToGrid w:val="0"/>
                      <w:szCs w:val="21"/>
                    </w:rPr>
                  </w:pPr>
                </w:p>
              </w:tc>
              <w:tc>
                <w:tcPr>
                  <w:tcW w:w="1675" w:type="dxa"/>
                  <w:vAlign w:val="center"/>
                </w:tcPr>
                <w:p>
                  <w:pPr>
                    <w:adjustRightInd w:val="0"/>
                    <w:snapToGrid w:val="0"/>
                    <w:jc w:val="center"/>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0.1</w:t>
                  </w:r>
                </w:p>
              </w:tc>
              <w:tc>
                <w:tcPr>
                  <w:tcW w:w="1289" w:type="dxa"/>
                  <w:vAlign w:val="center"/>
                </w:tcPr>
                <w:p>
                  <w:pPr>
                    <w:adjustRightInd w:val="0"/>
                    <w:snapToGrid w:val="0"/>
                    <w:jc w:val="center"/>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2500</w:t>
                  </w:r>
                </w:p>
              </w:tc>
              <w:tc>
                <w:tcPr>
                  <w:tcW w:w="1855" w:type="dxa"/>
                  <w:vAlign w:val="center"/>
                </w:tcPr>
                <w:p>
                  <w:pPr>
                    <w:adjustRightInd w:val="0"/>
                    <w:snapToGrid w:val="0"/>
                    <w:jc w:val="center"/>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0.00004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6634" w:type="dxa"/>
                  <w:gridSpan w:val="5"/>
                  <w:vAlign w:val="center"/>
                </w:tcPr>
                <w:p>
                  <w:pPr>
                    <w:adjustRightInd w:val="0"/>
                    <w:snapToGrid w:val="0"/>
                    <w:jc w:val="center"/>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项目</w:t>
                  </w:r>
                  <w:r>
                    <w:rPr>
                      <w:rFonts w:ascii="Times New Roman" w:hAnsi="Times New Roman" w:eastAsia="宋体" w:cs="Times New Roman"/>
                      <w:snapToGrid w:val="0"/>
                      <w:szCs w:val="21"/>
                    </w:rPr>
                    <w:t>Q</w:t>
                  </w:r>
                  <w:r>
                    <w:rPr>
                      <w:rFonts w:hint="eastAsia" w:ascii="Times New Roman" w:hAnsi="Times New Roman" w:eastAsia="宋体" w:cs="Times New Roman"/>
                      <w:snapToGrid w:val="0"/>
                      <w:szCs w:val="21"/>
                    </w:rPr>
                    <w:t>值</w:t>
                  </w:r>
                  <w:r>
                    <w:rPr>
                      <w:rFonts w:ascii="Times New Roman" w:hAnsi="Times New Roman" w:eastAsia="宋体" w:cs="Times New Roman"/>
                      <w:snapToGrid w:val="0"/>
                      <w:szCs w:val="21"/>
                    </w:rPr>
                    <w:t>Σ</w:t>
                  </w:r>
                </w:p>
              </w:tc>
              <w:tc>
                <w:tcPr>
                  <w:tcW w:w="1855" w:type="dxa"/>
                  <w:vAlign w:val="center"/>
                </w:tcPr>
                <w:p>
                  <w:pPr>
                    <w:adjustRightInd w:val="0"/>
                    <w:snapToGrid w:val="0"/>
                    <w:jc w:val="center"/>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≈0.0004</w:t>
                  </w:r>
                </w:p>
              </w:tc>
            </w:tr>
          </w:tbl>
          <w:p>
            <w:pPr>
              <w:adjustRightInd w:val="0"/>
              <w:snapToGrid w:val="0"/>
              <w:spacing w:line="360" w:lineRule="auto"/>
              <w:ind w:firstLine="420" w:firstLineChars="200"/>
              <w:rPr>
                <w:rFonts w:ascii="Times New Roman" w:hAnsi="Times New Roman" w:eastAsia="宋体" w:cs="Times New Roman"/>
                <w:snapToGrid w:val="0"/>
                <w:szCs w:val="21"/>
              </w:rPr>
            </w:pPr>
            <w:r>
              <w:rPr>
                <w:rFonts w:ascii="Times New Roman" w:hAnsi="Times New Roman" w:eastAsia="宋体" w:cs="Times New Roman"/>
                <w:snapToGrid w:val="0"/>
                <w:szCs w:val="21"/>
              </w:rPr>
              <w:t>Q</w:t>
            </w:r>
            <w:r>
              <w:rPr>
                <w:rFonts w:hint="eastAsia" w:ascii="Times New Roman" w:hAnsi="Times New Roman" w:eastAsia="宋体" w:cs="Times New Roman"/>
                <w:snapToGrid w:val="0"/>
                <w:szCs w:val="21"/>
              </w:rPr>
              <w:t>＜</w:t>
            </w:r>
            <w:r>
              <w:rPr>
                <w:rFonts w:ascii="Times New Roman" w:hAnsi="Times New Roman" w:eastAsia="宋体" w:cs="Times New Roman"/>
                <w:snapToGrid w:val="0"/>
                <w:szCs w:val="21"/>
              </w:rPr>
              <w:t>1</w:t>
            </w:r>
            <w:r>
              <w:rPr>
                <w:rFonts w:hint="eastAsia" w:ascii="Times New Roman" w:hAnsi="Times New Roman" w:eastAsia="宋体" w:cs="Times New Roman"/>
                <w:snapToGrid w:val="0"/>
                <w:szCs w:val="21"/>
              </w:rPr>
              <w:t>，则本项目环境风险潜势为Ⅰ。</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zCs w:val="24"/>
              </w:rPr>
              <w:t>（</w:t>
            </w:r>
            <w:r>
              <w:rPr>
                <w:rFonts w:hint="eastAsia" w:ascii="Times New Roman" w:hAnsi="Times New Roman" w:eastAsia="宋体" w:cs="Times New Roman"/>
                <w:snapToGrid w:val="0"/>
                <w:szCs w:val="21"/>
              </w:rPr>
              <w:t>3）环境敏感目标概况</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本项目位于</w:t>
            </w:r>
            <w:r>
              <w:rPr>
                <w:rFonts w:hint="eastAsia" w:ascii="Times New Roman" w:hAnsi="宋体" w:eastAsia="宋体" w:cs="Times New Roman"/>
                <w:bCs/>
                <w:szCs w:val="21"/>
              </w:rPr>
              <w:t>抚宁区留守营镇毛家营村村民委员会渤海大修厂</w:t>
            </w:r>
            <w:r>
              <w:rPr>
                <w:rFonts w:hint="eastAsia" w:ascii="Times New Roman" w:hAnsi="Times New Roman" w:eastAsia="宋体" w:cs="Times New Roman"/>
                <w:snapToGrid w:val="0"/>
                <w:szCs w:val="21"/>
              </w:rPr>
              <w:t>，项目周边</w:t>
            </w:r>
            <w:r>
              <w:rPr>
                <w:rFonts w:ascii="Times New Roman" w:hAnsi="Times New Roman" w:eastAsia="宋体" w:cs="Times New Roman"/>
                <w:snapToGrid w:val="0"/>
                <w:szCs w:val="21"/>
              </w:rPr>
              <w:t>500m</w:t>
            </w:r>
            <w:r>
              <w:rPr>
                <w:rFonts w:hint="eastAsia" w:ascii="Times New Roman" w:hAnsi="Times New Roman" w:eastAsia="宋体" w:cs="Times New Roman"/>
                <w:snapToGrid w:val="0"/>
                <w:szCs w:val="21"/>
              </w:rPr>
              <w:t>范围主要为小区、村庄以及企业。评价范围内不涉及自然保护区、风景名胜区、饮用水源保护区等环境敏感区。</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（4）环境风险识别</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废机油、废机油属于《建设项目环境风险技术评价导则》（</w:t>
            </w:r>
            <w:r>
              <w:rPr>
                <w:rFonts w:ascii="Times New Roman" w:hAnsi="Times New Roman" w:eastAsia="宋体" w:cs="Times New Roman"/>
                <w:snapToGrid w:val="0"/>
                <w:szCs w:val="21"/>
              </w:rPr>
              <w:t>HJ169-2018</w:t>
            </w:r>
            <w:r>
              <w:rPr>
                <w:rFonts w:hint="eastAsia" w:ascii="Times New Roman" w:hAnsi="Times New Roman" w:eastAsia="宋体" w:cs="Times New Roman"/>
                <w:snapToGrid w:val="0"/>
                <w:szCs w:val="21"/>
              </w:rPr>
              <w:t>）附录</w:t>
            </w:r>
            <w:r>
              <w:rPr>
                <w:rFonts w:ascii="Times New Roman" w:hAnsi="Times New Roman" w:eastAsia="宋体" w:cs="Times New Roman"/>
                <w:snapToGrid w:val="0"/>
                <w:szCs w:val="21"/>
              </w:rPr>
              <w:t>B</w:t>
            </w:r>
            <w:r>
              <w:rPr>
                <w:rFonts w:hint="eastAsia" w:ascii="Times New Roman" w:hAnsi="Times New Roman" w:eastAsia="宋体" w:cs="Times New Roman"/>
                <w:snapToGrid w:val="0"/>
                <w:szCs w:val="21"/>
              </w:rPr>
              <w:t>中的危险物，暂存在危废间内，有泄漏和发生火灾的可能性，项目环境风险识别见下表。</w:t>
            </w:r>
          </w:p>
          <w:p>
            <w:pPr>
              <w:adjustRightInd w:val="0"/>
              <w:snapToGrid w:val="0"/>
              <w:spacing w:before="120" w:beforeLines="50"/>
              <w:jc w:val="center"/>
              <w:rPr>
                <w:rFonts w:ascii="Times New Roman" w:hAnsi="Times New Roman" w:eastAsia="宋体" w:cs="Times New Roman"/>
                <w:b/>
                <w:szCs w:val="24"/>
              </w:rPr>
            </w:pPr>
            <w:r>
              <w:rPr>
                <w:rFonts w:hint="eastAsia" w:ascii="Times New Roman" w:hAnsi="Times New Roman" w:eastAsia="宋体" w:cs="Times New Roman"/>
                <w:b/>
                <w:szCs w:val="24"/>
              </w:rPr>
              <w:t>表 33环境风险识别一览表</w:t>
            </w: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89"/>
              <w:gridCol w:w="2155"/>
              <w:gridCol w:w="2155"/>
              <w:gridCol w:w="20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1"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序号</w:t>
                  </w:r>
                </w:p>
              </w:tc>
              <w:tc>
                <w:tcPr>
                  <w:tcW w:w="1269"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风险源</w:t>
                  </w:r>
                </w:p>
              </w:tc>
              <w:tc>
                <w:tcPr>
                  <w:tcW w:w="1269"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风险物质</w:t>
                  </w:r>
                </w:p>
              </w:tc>
              <w:tc>
                <w:tcPr>
                  <w:tcW w:w="1231"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风险类型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1"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1</w:t>
                  </w:r>
                </w:p>
              </w:tc>
              <w:tc>
                <w:tcPr>
                  <w:tcW w:w="1269"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原料库</w:t>
                  </w:r>
                </w:p>
              </w:tc>
              <w:tc>
                <w:tcPr>
                  <w:tcW w:w="1269"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废塑料</w:t>
                  </w:r>
                </w:p>
              </w:tc>
              <w:tc>
                <w:tcPr>
                  <w:tcW w:w="1231"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火灾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1" w:type="pct"/>
                  <w:vAlign w:val="center"/>
                </w:tcPr>
                <w:p>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2</w:t>
                  </w:r>
                </w:p>
              </w:tc>
              <w:tc>
                <w:tcPr>
                  <w:tcW w:w="1269"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原料库、危废间</w:t>
                  </w:r>
                </w:p>
              </w:tc>
              <w:tc>
                <w:tcPr>
                  <w:tcW w:w="1269"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机油、废机油</w:t>
                  </w:r>
                </w:p>
              </w:tc>
              <w:tc>
                <w:tcPr>
                  <w:tcW w:w="1231"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泄漏</w:t>
                  </w:r>
                </w:p>
              </w:tc>
            </w:tr>
          </w:tbl>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（5）环境风险分析</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1）废塑料</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本项目回收的废塑料主要为PET，其具有可燃性，遇到明火可能会发生火灾。</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2）危废间内废机油桶装，有可能会发生泄漏，最大储存量为0.02t，储存量较小，且危废间内有围堰，不会溢流出危废间，影响较小。</w:t>
            </w:r>
          </w:p>
          <w:p>
            <w:pPr>
              <w:adjustRightInd w:val="0"/>
              <w:snapToGrid w:val="0"/>
              <w:spacing w:line="360" w:lineRule="auto"/>
              <w:ind w:firstLine="420" w:firstLineChars="200"/>
              <w:rPr>
                <w:rFonts w:ascii="Times New Roman" w:hAnsi="Times New Roman" w:eastAsia="宋体" w:cs="Times New Roman"/>
                <w:snapToGrid w:val="0"/>
                <w:szCs w:val="21"/>
              </w:rPr>
            </w:pPr>
            <w:r>
              <w:rPr>
                <w:rFonts w:ascii="Times New Roman" w:hAnsi="Times New Roman" w:eastAsia="宋体" w:cs="Times New Roman"/>
                <w:snapToGrid w:val="0"/>
                <w:szCs w:val="21"/>
              </w:rPr>
              <w:t>综上事故类型分析，企业发生泄漏事故后，会对环境产生次生影响，泄漏物可能对土壤环境、水环境造成一定的影响，</w:t>
            </w:r>
            <w:r>
              <w:rPr>
                <w:rFonts w:hint="eastAsia" w:ascii="Times New Roman" w:hAnsi="Times New Roman" w:eastAsia="宋体" w:cs="Times New Roman"/>
                <w:snapToGrid w:val="0"/>
                <w:szCs w:val="21"/>
              </w:rPr>
              <w:t>所以企业应采取一定的风险防范措施。</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（6）环境风险防范措施及应急要求</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1）环境风险防范措施</w:t>
            </w:r>
          </w:p>
          <w:p>
            <w:pPr>
              <w:adjustRightInd w:val="0"/>
              <w:snapToGrid w:val="0"/>
              <w:spacing w:line="360" w:lineRule="auto"/>
              <w:ind w:firstLine="420" w:firstLineChars="200"/>
              <w:rPr>
                <w:rFonts w:ascii="Times New Roman" w:hAnsi="Times New Roman" w:eastAsia="宋体" w:cs="Times New Roman"/>
                <w:snapToGrid w:val="0"/>
                <w:szCs w:val="21"/>
              </w:rPr>
            </w:pPr>
            <w:r>
              <w:rPr>
                <w:rFonts w:ascii="Times New Roman" w:hAnsi="Times New Roman" w:eastAsia="宋体" w:cs="Times New Roman"/>
                <w:snapToGrid w:val="0"/>
                <w:szCs w:val="21"/>
              </w:rPr>
              <w:t>本环评要求建设单位采取以下环境风险防范措施：</w:t>
            </w:r>
          </w:p>
          <w:p>
            <w:pPr>
              <w:adjustRightInd w:val="0"/>
              <w:snapToGrid w:val="0"/>
              <w:spacing w:line="360" w:lineRule="auto"/>
              <w:ind w:firstLine="420" w:firstLineChars="200"/>
              <w:rPr>
                <w:rFonts w:ascii="Times New Roman" w:hAnsi="Times New Roman" w:eastAsia="宋体" w:cs="Times New Roman"/>
                <w:szCs w:val="24"/>
              </w:rPr>
            </w:pPr>
            <w:r>
              <w:rPr>
                <w:rFonts w:ascii="Times New Roman" w:hAnsi="Times New Roman" w:eastAsia="宋体" w:cs="Times New Roman"/>
                <w:snapToGrid w:val="0"/>
                <w:szCs w:val="21"/>
              </w:rPr>
              <w:fldChar w:fldCharType="begin"/>
            </w:r>
            <w:r>
              <w:rPr>
                <w:rFonts w:hint="eastAsia" w:ascii="Times New Roman" w:hAnsi="Times New Roman" w:eastAsia="宋体" w:cs="Times New Roman"/>
                <w:snapToGrid w:val="0"/>
                <w:szCs w:val="21"/>
              </w:rPr>
              <w:instrText xml:space="preserve">eq \o\ac(○,1)</w:instrText>
            </w:r>
            <w:r>
              <w:rPr>
                <w:rFonts w:ascii="Times New Roman" w:hAnsi="Times New Roman" w:eastAsia="宋体" w:cs="Times New Roman"/>
                <w:snapToGrid w:val="0"/>
                <w:szCs w:val="21"/>
              </w:rPr>
              <w:fldChar w:fldCharType="end"/>
            </w:r>
            <w:r>
              <w:rPr>
                <w:rFonts w:ascii="Times New Roman" w:hAnsi="Times New Roman" w:eastAsia="宋体" w:cs="Times New Roman"/>
                <w:snapToGrid w:val="0"/>
                <w:szCs w:val="21"/>
              </w:rPr>
              <w:t>对职工要加强环保、安全生产教育，生产中积极采取</w:t>
            </w:r>
            <w:r>
              <w:rPr>
                <w:rFonts w:ascii="Times New Roman" w:hAnsi="宋体" w:eastAsia="宋体" w:cs="Times New Roman"/>
                <w:szCs w:val="24"/>
              </w:rPr>
              <w:t>防范措施，厂区内特别是易燃、可燃物品储存和使用场所严禁吸烟、禁火，在醒目处要设有禁烟、禁火的标志。</w:t>
            </w:r>
          </w:p>
          <w:p>
            <w:pPr>
              <w:adjustRightInd w:val="0"/>
              <w:snapToGrid w:val="0"/>
              <w:spacing w:line="360" w:lineRule="auto"/>
              <w:ind w:firstLine="420" w:firstLineChars="200"/>
              <w:rPr>
                <w:rFonts w:ascii="Times New Roman" w:hAnsi="Times New Roman" w:eastAsia="宋体" w:cs="Times New Roman"/>
                <w:szCs w:val="24"/>
              </w:rPr>
            </w:pPr>
            <w:r>
              <w:rPr>
                <w:rFonts w:ascii="Times New Roman" w:hAnsi="Times New Roman" w:eastAsia="宋体" w:cs="Times New Roman"/>
                <w:szCs w:val="24"/>
              </w:rPr>
              <w:fldChar w:fldCharType="begin"/>
            </w:r>
            <w:r>
              <w:rPr>
                <w:rFonts w:hint="eastAsia" w:ascii="Times New Roman" w:hAnsi="Times New Roman" w:eastAsia="宋体" w:cs="Times New Roman"/>
                <w:szCs w:val="24"/>
              </w:rPr>
              <w:instrText xml:space="preserve">eq \o\ac(○,</w:instrText>
            </w:r>
            <w:r>
              <w:rPr>
                <w:rFonts w:hint="eastAsia" w:ascii="Times New Roman" w:hAnsi="Times New Roman" w:eastAsia="宋体" w:cs="Times New Roman"/>
                <w:position w:val="3"/>
                <w:sz w:val="16"/>
                <w:szCs w:val="24"/>
              </w:rPr>
              <w:instrText xml:space="preserve">2</w:instrText>
            </w:r>
            <w:r>
              <w:rPr>
                <w:rFonts w:hint="eastAsia" w:ascii="Times New Roman" w:hAnsi="Times New Roman" w:eastAsia="宋体" w:cs="Times New Roman"/>
                <w:szCs w:val="24"/>
              </w:rPr>
              <w:instrText xml:space="preserve">)</w:instrText>
            </w:r>
            <w:r>
              <w:rPr>
                <w:rFonts w:ascii="Times New Roman" w:hAnsi="Times New Roman" w:eastAsia="宋体" w:cs="Times New Roman"/>
                <w:szCs w:val="24"/>
              </w:rPr>
              <w:fldChar w:fldCharType="end"/>
            </w:r>
            <w:r>
              <w:rPr>
                <w:rFonts w:ascii="Times New Roman" w:hAnsi="宋体" w:eastAsia="宋体" w:cs="Times New Roman"/>
                <w:szCs w:val="24"/>
              </w:rPr>
              <w:t>加强设备维护，厂区应设置应急救援设施、应急疏散，道路布置满足消防、运输要求。</w:t>
            </w:r>
          </w:p>
          <w:p>
            <w:pPr>
              <w:adjustRightInd w:val="0"/>
              <w:snapToGrid w:val="0"/>
              <w:spacing w:line="360" w:lineRule="auto"/>
              <w:ind w:firstLine="420" w:firstLineChars="200"/>
              <w:rPr>
                <w:rFonts w:ascii="Times New Roman" w:hAnsi="Times New Roman" w:eastAsia="宋体" w:cs="Times New Roman"/>
                <w:snapToGrid w:val="0"/>
                <w:szCs w:val="21"/>
              </w:rPr>
            </w:pPr>
            <w:r>
              <w:rPr>
                <w:rFonts w:ascii="Times New Roman" w:hAnsi="Times New Roman" w:eastAsia="宋体" w:cs="Times New Roman"/>
                <w:snapToGrid w:val="0"/>
                <w:szCs w:val="21"/>
              </w:rPr>
              <w:fldChar w:fldCharType="begin"/>
            </w:r>
            <w:r>
              <w:rPr>
                <w:rFonts w:hint="eastAsia" w:ascii="Times New Roman" w:hAnsi="Times New Roman" w:eastAsia="宋体" w:cs="Times New Roman"/>
                <w:snapToGrid w:val="0"/>
                <w:szCs w:val="21"/>
              </w:rPr>
              <w:instrText xml:space="preserve">eq \o\ac(○,3)</w:instrText>
            </w:r>
            <w:r>
              <w:rPr>
                <w:rFonts w:ascii="Times New Roman" w:hAnsi="Times New Roman" w:eastAsia="宋体" w:cs="Times New Roman"/>
                <w:snapToGrid w:val="0"/>
                <w:szCs w:val="21"/>
              </w:rPr>
              <w:fldChar w:fldCharType="end"/>
            </w:r>
            <w:r>
              <w:rPr>
                <w:rFonts w:ascii="Times New Roman" w:hAnsi="Times New Roman" w:eastAsia="宋体" w:cs="Times New Roman"/>
                <w:snapToGrid w:val="0"/>
                <w:szCs w:val="21"/>
              </w:rPr>
              <w:t>厂区内配备消防、灭火器材等。根据《建筑设计防火规范》(GBJ16-87)的有关规定，配套建设室外消火栓、室内消火栓。各建筑物的室内消防，除按有关规定设置消火栓给水系统外，按《建筑灭火器配置设计规范》（GB50140-2005）的要求设置灭火器，消防废水排入应急池中，经污水处理系统处理达标后，可回用于生产。</w:t>
            </w:r>
          </w:p>
          <w:p>
            <w:pPr>
              <w:adjustRightInd w:val="0"/>
              <w:snapToGrid w:val="0"/>
              <w:spacing w:line="360" w:lineRule="auto"/>
              <w:ind w:firstLine="420" w:firstLineChars="200"/>
              <w:rPr>
                <w:rFonts w:ascii="Times New Roman" w:hAnsi="Times New Roman" w:eastAsia="宋体" w:cs="Times New Roman"/>
                <w:snapToGrid w:val="0"/>
                <w:szCs w:val="21"/>
              </w:rPr>
            </w:pPr>
            <w:r>
              <w:rPr>
                <w:rFonts w:ascii="Times New Roman" w:hAnsi="Times New Roman" w:eastAsia="宋体" w:cs="Times New Roman"/>
                <w:snapToGrid w:val="0"/>
                <w:szCs w:val="21"/>
              </w:rPr>
              <w:fldChar w:fldCharType="begin"/>
            </w:r>
            <w:r>
              <w:rPr>
                <w:rFonts w:hint="eastAsia" w:ascii="Times New Roman" w:hAnsi="Times New Roman" w:eastAsia="宋体" w:cs="Times New Roman"/>
                <w:snapToGrid w:val="0"/>
                <w:szCs w:val="21"/>
              </w:rPr>
              <w:instrText xml:space="preserve">eq \o\ac(○,4)</w:instrText>
            </w:r>
            <w:r>
              <w:rPr>
                <w:rFonts w:ascii="Times New Roman" w:hAnsi="Times New Roman" w:eastAsia="宋体" w:cs="Times New Roman"/>
                <w:snapToGrid w:val="0"/>
                <w:szCs w:val="21"/>
              </w:rPr>
              <w:fldChar w:fldCharType="end"/>
            </w:r>
            <w:r>
              <w:rPr>
                <w:rFonts w:ascii="Times New Roman" w:hAnsi="Times New Roman" w:eastAsia="宋体" w:cs="Times New Roman"/>
                <w:snapToGrid w:val="0"/>
                <w:szCs w:val="21"/>
              </w:rPr>
              <w:t>危废间按照《危险废物贮存污染控制标准》(GB18597-2001)的管理规定进行管理，企业内部应建立危险废物产生、外运、处置及最终去向的详细台账，按照《危险废物转移联单管理办法》的要求做好危险废物转移联单填报登记工作，危废必须坚持交由资质单位处理，如资质单位在处理能力不能满足的情况下，企业应提前积极寻找其他资质单位并签订协议，企业不得擅自处理或排放。</w:t>
            </w:r>
          </w:p>
          <w:p>
            <w:pPr>
              <w:adjustRightInd w:val="0"/>
              <w:snapToGrid w:val="0"/>
              <w:spacing w:line="360" w:lineRule="auto"/>
              <w:ind w:firstLine="420" w:firstLineChars="200"/>
              <w:rPr>
                <w:rFonts w:ascii="Times New Roman" w:hAnsi="Times New Roman" w:eastAsia="宋体" w:cs="Times New Roman"/>
                <w:snapToGrid w:val="0"/>
                <w:szCs w:val="21"/>
              </w:rPr>
            </w:pPr>
            <w:r>
              <w:rPr>
                <w:rFonts w:ascii="Times New Roman" w:hAnsi="Times New Roman" w:eastAsia="宋体" w:cs="Times New Roman"/>
                <w:snapToGrid w:val="0"/>
                <w:szCs w:val="21"/>
              </w:rPr>
              <w:fldChar w:fldCharType="begin"/>
            </w:r>
            <w:r>
              <w:rPr>
                <w:rFonts w:hint="eastAsia" w:ascii="Times New Roman" w:hAnsi="Times New Roman" w:eastAsia="宋体" w:cs="Times New Roman"/>
                <w:snapToGrid w:val="0"/>
                <w:szCs w:val="21"/>
              </w:rPr>
              <w:instrText xml:space="preserve">eq \o\ac(○,5)</w:instrText>
            </w:r>
            <w:r>
              <w:rPr>
                <w:rFonts w:ascii="Times New Roman" w:hAnsi="Times New Roman" w:eastAsia="宋体" w:cs="Times New Roman"/>
                <w:snapToGrid w:val="0"/>
                <w:szCs w:val="21"/>
              </w:rPr>
              <w:fldChar w:fldCharType="end"/>
            </w:r>
            <w:r>
              <w:rPr>
                <w:rFonts w:ascii="Times New Roman" w:hAnsi="Times New Roman" w:eastAsia="宋体" w:cs="Times New Roman"/>
                <w:snapToGrid w:val="0"/>
                <w:szCs w:val="21"/>
              </w:rPr>
              <w:t>加强环保设施的维护管理，环保设施发生故障时应先停产，再检修。</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2）应急要求</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为了切实预防环境风险，建议建设单位制定环境风险应急预案，应急预案必须包括以下内容。</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环境风险应急预案主要有预防、响应、应急、报告、处置等内容，重点加强对风险源各个环节的日常管理和安全防范工作，严防各种环境风险事故的发生，规范和强化应对环境风险事故的应急处置工作，以预防为重点，逐步完善预警、处置及善后工作机制，建立企业防范有力、指挥有序、快速高效和统一协调的环境风险事故应急处置体系。本项目实施后，建设单位应编制突发环境事件应急预案，并报当地环境保护管理部门备案。</w:t>
            </w:r>
          </w:p>
          <w:p>
            <w:pPr>
              <w:adjustRightInd w:val="0"/>
              <w:snapToGrid w:val="0"/>
              <w:spacing w:line="360" w:lineRule="auto"/>
              <w:ind w:firstLine="420" w:firstLineChars="200"/>
              <w:rPr>
                <w:rFonts w:ascii="Times New Roman" w:hAnsi="Times New Roman" w:eastAsia="宋体" w:cs="Times New Roman"/>
                <w:szCs w:val="24"/>
              </w:rPr>
            </w:pPr>
            <w:r>
              <w:rPr>
                <w:rFonts w:hint="eastAsia" w:ascii="Times New Roman" w:hAnsi="Times New Roman" w:eastAsia="宋体" w:cs="Times New Roman"/>
                <w:snapToGrid w:val="0"/>
                <w:szCs w:val="21"/>
              </w:rPr>
              <w:t>（8）环境风险分析结论</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通过建立健全相应的防范应急措施，在管理及运行中认真落实工程安全措施及评价所提出的措施后，上述风险事故隐患可降至最低，环境风险影响范围和程度较小，环境风险可控。</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8、清洁生产</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（1）生产工艺及装备分析</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经对照《部分工业行业淘汰落后生产工艺装备和产品指导目录（2010 年本）》，本项目不属于该目录所列“淘汰落后生产工艺装备和产品”。</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综上所述，项目采用先进的生产工艺和装备。</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（2）资源能源利用指标</w:t>
            </w:r>
          </w:p>
          <w:p>
            <w:pPr>
              <w:adjustRightInd w:val="0"/>
              <w:snapToGrid w:val="0"/>
              <w:spacing w:line="360" w:lineRule="auto"/>
              <w:ind w:firstLine="420" w:firstLineChars="200"/>
              <w:rPr>
                <w:rFonts w:ascii="Times New Roman" w:hAnsi="Times New Roman" w:eastAsia="宋体" w:cs="Times New Roman"/>
                <w:snapToGrid w:val="0"/>
                <w:szCs w:val="21"/>
              </w:rPr>
            </w:pPr>
            <w:r>
              <w:rPr>
                <w:rFonts w:ascii="Times New Roman" w:hAnsi="Times New Roman" w:eastAsia="宋体" w:cs="Times New Roman"/>
                <w:snapToGrid w:val="0"/>
                <w:szCs w:val="21"/>
              </w:rPr>
              <w:t>本项目的原料为废弃的塑料瓶，经过加工后，产出片料，实现了资源的重复利用，提高了资源循环利用率。且生产过程中产生的废料，收集后用作原料，实现了资源利用的</w:t>
            </w:r>
            <w:r>
              <w:rPr>
                <w:rFonts w:hint="eastAsia" w:ascii="Times New Roman" w:hAnsi="Times New Roman" w:eastAsia="宋体" w:cs="Times New Roman"/>
                <w:snapToGrid w:val="0"/>
                <w:szCs w:val="21"/>
              </w:rPr>
              <w:t>最</w:t>
            </w:r>
            <w:r>
              <w:rPr>
                <w:rFonts w:ascii="Times New Roman" w:hAnsi="Times New Roman" w:eastAsia="宋体" w:cs="Times New Roman"/>
                <w:snapToGrid w:val="0"/>
                <w:szCs w:val="21"/>
              </w:rPr>
              <w:t>大化。</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（3）产品指标分析</w:t>
            </w:r>
          </w:p>
          <w:p>
            <w:pPr>
              <w:adjustRightInd w:val="0"/>
              <w:snapToGrid w:val="0"/>
              <w:spacing w:line="360" w:lineRule="auto"/>
              <w:ind w:firstLine="420" w:firstLineChars="200"/>
              <w:rPr>
                <w:rFonts w:ascii="Times New Roman" w:hAnsi="Times New Roman" w:eastAsia="宋体" w:cs="Times New Roman"/>
                <w:snapToGrid w:val="0"/>
                <w:szCs w:val="21"/>
              </w:rPr>
            </w:pPr>
            <w:r>
              <w:rPr>
                <w:rFonts w:ascii="Times New Roman" w:hAnsi="Times New Roman" w:eastAsia="宋体" w:cs="Times New Roman"/>
                <w:snapToGrid w:val="0"/>
                <w:szCs w:val="21"/>
              </w:rPr>
              <w:t>本项目的产品主要供给</w:t>
            </w:r>
            <w:r>
              <w:rPr>
                <w:rFonts w:ascii="Times New Roman" w:hAnsi="Times New Roman" w:eastAsia="宋体" w:cs="Times New Roman"/>
                <w:szCs w:val="20"/>
              </w:rPr>
              <w:t>上游厂家，作为涤纤、化纤和塑料制品的原料，对产品的品质无要求。</w:t>
            </w:r>
          </w:p>
          <w:p>
            <w:pPr>
              <w:adjustRightInd w:val="0"/>
              <w:snapToGrid w:val="0"/>
              <w:spacing w:line="360" w:lineRule="auto"/>
              <w:ind w:firstLine="420" w:firstLineChars="200"/>
              <w:rPr>
                <w:rFonts w:ascii="Times New Roman" w:hAnsi="Times New Roman" w:eastAsia="宋体" w:cs="Times New Roman"/>
                <w:snapToGrid w:val="0"/>
                <w:szCs w:val="21"/>
              </w:rPr>
            </w:pPr>
            <w:r>
              <w:rPr>
                <w:rFonts w:ascii="Times New Roman" w:hAnsi="Times New Roman" w:eastAsia="宋体" w:cs="Times New Roman"/>
                <w:snapToGrid w:val="0"/>
                <w:szCs w:val="21"/>
              </w:rPr>
              <w:t>（</w:t>
            </w:r>
            <w:r>
              <w:rPr>
                <w:rFonts w:hint="eastAsia" w:ascii="Times New Roman" w:hAnsi="Times New Roman" w:eastAsia="宋体" w:cs="Times New Roman"/>
                <w:snapToGrid w:val="0"/>
                <w:szCs w:val="21"/>
              </w:rPr>
              <w:t>4</w:t>
            </w:r>
            <w:r>
              <w:rPr>
                <w:rFonts w:ascii="Times New Roman" w:hAnsi="Times New Roman" w:eastAsia="宋体" w:cs="Times New Roman"/>
                <w:snapToGrid w:val="0"/>
                <w:szCs w:val="21"/>
              </w:rPr>
              <w:t>）污染物产生指标</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本项目只有污水处理系统产生少量的臭气。废水全部回用不外排，产生的废包装袋循环使用，</w:t>
            </w:r>
            <w:r>
              <w:rPr>
                <w:rFonts w:hint="eastAsia" w:ascii="宋体" w:hAnsi="Times New Roman" w:eastAsia="宋体" w:cs="宋体"/>
                <w:kern w:val="0"/>
                <w:szCs w:val="21"/>
              </w:rPr>
              <w:t>污水处理系统产生的</w:t>
            </w:r>
            <w:r>
              <w:rPr>
                <w:rFonts w:hint="eastAsia" w:ascii="Times New Roman" w:hAnsi="Times New Roman" w:eastAsia="宋体" w:cs="Times New Roman"/>
                <w:kern w:val="24"/>
                <w:szCs w:val="21"/>
              </w:rPr>
              <w:t>絮凝沉淀物</w:t>
            </w:r>
            <w:r>
              <w:rPr>
                <w:rFonts w:hint="eastAsia" w:ascii="宋体" w:hAnsi="Times New Roman" w:eastAsia="宋体" w:cs="宋体"/>
                <w:kern w:val="0"/>
                <w:szCs w:val="21"/>
              </w:rPr>
              <w:t>定期通过吸污车运至有处理能力的单位进行处理，废塑料瓶打包袋循环使用，散装原料风选工序选出来的其他材质的瓶子，外售给废品站，隔油池产生的植物油渣定期交有处理能力的单位进行处置。</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（5）废物回收利用指标</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本项目就是回收废物再利用的过程，且</w:t>
            </w:r>
            <w:r>
              <w:rPr>
                <w:rFonts w:hint="eastAsia" w:ascii="宋体" w:hAnsi="Times New Roman" w:eastAsia="宋体" w:cs="宋体"/>
                <w:kern w:val="0"/>
                <w:szCs w:val="21"/>
              </w:rPr>
              <w:t>废塑料瓶打包袋循环使用。</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（6）环境管理要求</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①</w:t>
            </w:r>
            <w:r>
              <w:rPr>
                <w:rFonts w:hint="eastAsia" w:ascii="Times New Roman" w:hAnsi="Times New Roman" w:eastAsia="宋体" w:cs="Times New Roman"/>
                <w:snapToGrid w:val="0"/>
                <w:szCs w:val="21"/>
              </w:rPr>
              <w:tab/>
            </w:r>
            <w:r>
              <w:rPr>
                <w:rFonts w:hint="eastAsia" w:ascii="Times New Roman" w:hAnsi="Times New Roman" w:eastAsia="宋体" w:cs="Times New Roman"/>
                <w:snapToGrid w:val="0"/>
                <w:szCs w:val="21"/>
              </w:rPr>
              <w:t>加强企业管理的制度化、规范化，使企业按照现代化标准管理；</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②</w:t>
            </w:r>
            <w:r>
              <w:rPr>
                <w:rFonts w:hint="eastAsia" w:ascii="Times New Roman" w:hAnsi="Times New Roman" w:eastAsia="宋体" w:cs="Times New Roman"/>
                <w:snapToGrid w:val="0"/>
                <w:szCs w:val="21"/>
              </w:rPr>
              <w:tab/>
            </w:r>
            <w:r>
              <w:rPr>
                <w:rFonts w:hint="eastAsia" w:ascii="Times New Roman" w:hAnsi="Times New Roman" w:eastAsia="宋体" w:cs="Times New Roman"/>
                <w:snapToGrid w:val="0"/>
                <w:szCs w:val="21"/>
              </w:rPr>
              <w:t>健全污染治理措施，主要污染物全部达标排放，最大限度地减轻对环境的污染，为企业持续发展创造条件；</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③加强企业职工环境法教育，提高环境保护意识。</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综上，项目清洁生产水平总体可达国内清洁生产先进水平，符合清洁生产要求。</w:t>
            </w:r>
          </w:p>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9、排污口规范化</w:t>
            </w:r>
          </w:p>
          <w:p>
            <w:pPr>
              <w:adjustRightInd w:val="0"/>
              <w:snapToGrid w:val="0"/>
              <w:spacing w:line="360" w:lineRule="auto"/>
              <w:ind w:firstLine="420" w:firstLineChars="200"/>
            </w:pPr>
            <w:r>
              <w:rPr>
                <w:rFonts w:hint="eastAsia"/>
              </w:rPr>
              <w:t>（1）</w:t>
            </w:r>
            <w:r>
              <w:t xml:space="preserve">、落实按证排污责任 </w:t>
            </w:r>
          </w:p>
          <w:p>
            <w:pPr>
              <w:adjustRightInd w:val="0"/>
              <w:snapToGrid w:val="0"/>
              <w:spacing w:line="360" w:lineRule="auto"/>
              <w:ind w:firstLine="420" w:firstLineChars="200"/>
            </w:pPr>
            <w:r>
              <w:t>建设单位必须按期持证排污、按证排污，不得无证排污，及时申领排污许可证，对申请材料的真实性、准确性和完整性承担法律责任，承诺按照排污许可证的规定排污并严格执行；落实污染物排放控制措施和其他各项环境管理要求，确保污染物排放种类、浓度和排放量等达到许可要求；明确单位负责人和相关人员环境保护责任，不断提高污染治理和环境管理水平，自觉接受监督检查。</w:t>
            </w:r>
          </w:p>
          <w:p>
            <w:pPr>
              <w:adjustRightInd w:val="0"/>
              <w:snapToGrid w:val="0"/>
              <w:spacing w:line="360" w:lineRule="auto"/>
              <w:ind w:firstLine="420" w:firstLineChars="200"/>
            </w:pPr>
            <w:r>
              <w:t xml:space="preserve"> </w:t>
            </w:r>
            <w:r>
              <w:rPr>
                <w:rFonts w:hint="eastAsia"/>
              </w:rPr>
              <w:t>（2）</w:t>
            </w:r>
            <w:r>
              <w:t xml:space="preserve">、实行自行监测和定期报告制度 </w:t>
            </w:r>
          </w:p>
          <w:p>
            <w:pPr>
              <w:adjustRightInd w:val="0"/>
              <w:snapToGrid w:val="0"/>
              <w:spacing w:line="360" w:lineRule="auto"/>
              <w:ind w:firstLine="420" w:firstLineChars="200"/>
            </w:pPr>
            <w:r>
              <w:t>依法开展自行监测，安装或使用监测设备应符合国家有关环境监测、计量认证规定和技术规范，保障数据合法有效，保证设备正常运行，妥善保存原始记录，建立准确完整的环境管理台账。如实向环境保护部门报告排污许可证执行情况，依法向社会公开污染物排放数据并对数据真实性负责。排放情况与排污许可证要求不符的，应及时向环境保护部门报告。</w:t>
            </w:r>
          </w:p>
          <w:p>
            <w:pPr>
              <w:adjustRightInd w:val="0"/>
              <w:snapToGrid w:val="0"/>
              <w:spacing w:line="360" w:lineRule="auto"/>
              <w:ind w:firstLine="420" w:firstLineChars="200"/>
            </w:pPr>
            <w:r>
              <w:rPr>
                <w:rFonts w:hint="eastAsia"/>
              </w:rPr>
              <w:t>（3）</w:t>
            </w:r>
            <w:r>
              <w:t>、排污许可证管理</w:t>
            </w:r>
          </w:p>
          <w:p>
            <w:pPr>
              <w:adjustRightInd w:val="0"/>
              <w:snapToGrid w:val="0"/>
              <w:spacing w:line="360" w:lineRule="auto"/>
              <w:ind w:firstLine="420" w:firstLineChars="200"/>
            </w:pPr>
            <w:r>
              <w:t xml:space="preserve"> </w:t>
            </w:r>
            <w:r>
              <w:fldChar w:fldCharType="begin"/>
            </w:r>
            <w:r>
              <w:instrText xml:space="preserve"> </w:instrText>
            </w:r>
            <w:r>
              <w:rPr>
                <w:rFonts w:hint="eastAsia"/>
              </w:rPr>
              <w:instrText xml:space="preserve">eq \o\ac(○,</w:instrText>
            </w:r>
            <w:r>
              <w:rPr>
                <w:rFonts w:hint="eastAsia" w:ascii="Calibri"/>
                <w:position w:val="2"/>
                <w:sz w:val="14"/>
              </w:rPr>
              <w:instrText xml:space="preserve">1</w:instrText>
            </w:r>
            <w:r>
              <w:rPr>
                <w:rFonts w:hint="eastAsia"/>
              </w:rPr>
              <w:instrText xml:space="preserve">)</w:instrText>
            </w:r>
            <w:r>
              <w:fldChar w:fldCharType="end"/>
            </w:r>
            <w:r>
              <w:t>排污口位置和数量、排放方式、排放去向、排放污染物种类、排放浓度和排放量、执行的排放标准等符合排污许可证的规定，不得私设暗管或以其他方式逃避监管。</w:t>
            </w:r>
            <w:r>
              <w:fldChar w:fldCharType="begin"/>
            </w:r>
            <w:r>
              <w:instrText xml:space="preserve"> </w:instrText>
            </w:r>
            <w:r>
              <w:rPr>
                <w:rFonts w:hint="eastAsia"/>
              </w:rPr>
              <w:instrText xml:space="preserve">eq \o\ac(○,</w:instrText>
            </w:r>
            <w:r>
              <w:rPr>
                <w:rFonts w:hint="eastAsia" w:ascii="Calibri"/>
                <w:position w:val="2"/>
                <w:sz w:val="14"/>
              </w:rPr>
              <w:instrText xml:space="preserve">2</w:instrText>
            </w:r>
            <w:r>
              <w:rPr>
                <w:rFonts w:hint="eastAsia"/>
              </w:rPr>
              <w:instrText xml:space="preserve">)</w:instrText>
            </w:r>
            <w:r>
              <w:fldChar w:fldCharType="end"/>
            </w:r>
            <w:r>
              <w:t>落实重污染天气应急管控措施、遵守法律规定的最新环境保护要求等。</w:t>
            </w:r>
            <w:r>
              <w:fldChar w:fldCharType="begin"/>
            </w:r>
            <w:r>
              <w:instrText xml:space="preserve"> </w:instrText>
            </w:r>
            <w:r>
              <w:rPr>
                <w:rFonts w:hint="eastAsia"/>
              </w:rPr>
              <w:instrText xml:space="preserve">eq \o\ac(○,</w:instrText>
            </w:r>
            <w:r>
              <w:rPr>
                <w:rFonts w:hint="eastAsia" w:ascii="Calibri"/>
                <w:position w:val="2"/>
                <w:sz w:val="14"/>
              </w:rPr>
              <w:instrText xml:space="preserve">3</w:instrText>
            </w:r>
            <w:r>
              <w:rPr>
                <w:rFonts w:hint="eastAsia"/>
              </w:rPr>
              <w:instrText xml:space="preserve">)</w:instrText>
            </w:r>
            <w:r>
              <w:fldChar w:fldCharType="end"/>
            </w:r>
            <w:r>
              <w:t>按排污许可证规定的监测点位、监测因子、监测频次和相关监测技术规范开展自行监测并公开。</w:t>
            </w:r>
            <w:r>
              <w:fldChar w:fldCharType="begin"/>
            </w:r>
            <w:r>
              <w:instrText xml:space="preserve"> </w:instrText>
            </w:r>
            <w:r>
              <w:rPr>
                <w:rFonts w:hint="eastAsia"/>
              </w:rPr>
              <w:instrText xml:space="preserve">eq \o\ac(○,</w:instrText>
            </w:r>
            <w:r>
              <w:rPr>
                <w:rFonts w:hint="eastAsia" w:ascii="Calibri"/>
                <w:position w:val="2"/>
                <w:sz w:val="14"/>
              </w:rPr>
              <w:instrText xml:space="preserve">4</w:instrText>
            </w:r>
            <w:r>
              <w:rPr>
                <w:rFonts w:hint="eastAsia"/>
              </w:rPr>
              <w:instrText xml:space="preserve">)</w:instrText>
            </w:r>
            <w:r>
              <w:fldChar w:fldCharType="end"/>
            </w:r>
            <w:r>
              <w:t>按规范进行台账记录，主要内容包括生产信息、原辅材料使用情况、污染防治设施运行记录、监测数据等。</w:t>
            </w:r>
            <w:r>
              <w:fldChar w:fldCharType="begin"/>
            </w:r>
            <w:r>
              <w:instrText xml:space="preserve"> </w:instrText>
            </w:r>
            <w:r>
              <w:rPr>
                <w:rFonts w:hint="eastAsia"/>
              </w:rPr>
              <w:instrText xml:space="preserve">eq \o\ac(○,</w:instrText>
            </w:r>
            <w:r>
              <w:rPr>
                <w:rFonts w:hint="eastAsia" w:ascii="Calibri"/>
                <w:position w:val="2"/>
                <w:sz w:val="14"/>
              </w:rPr>
              <w:instrText xml:space="preserve">5</w:instrText>
            </w:r>
            <w:r>
              <w:rPr>
                <w:rFonts w:hint="eastAsia"/>
              </w:rPr>
              <w:instrText xml:space="preserve">)</w:instrText>
            </w:r>
            <w:r>
              <w:fldChar w:fldCharType="end"/>
            </w:r>
            <w:r>
              <w:t>按排污许可证规定，定期在国家排污许可证管理信息平台填报信息，编制排污许可证执行报告，及时报送有核发权的环境保护主管部门并公开，执行报告主要内容包括生产信息、污染防治设施运行情况、污染物按证排放情况等。</w:t>
            </w:r>
            <w:r>
              <w:fldChar w:fldCharType="begin"/>
            </w:r>
            <w:r>
              <w:instrText xml:space="preserve"> </w:instrText>
            </w:r>
            <w:r>
              <w:rPr>
                <w:rFonts w:hint="eastAsia"/>
              </w:rPr>
              <w:instrText xml:space="preserve">eq \o\ac(○,</w:instrText>
            </w:r>
            <w:r>
              <w:rPr>
                <w:rFonts w:hint="eastAsia" w:ascii="Calibri"/>
                <w:position w:val="2"/>
                <w:sz w:val="14"/>
              </w:rPr>
              <w:instrText xml:space="preserve">6</w:instrText>
            </w:r>
            <w:r>
              <w:rPr>
                <w:rFonts w:hint="eastAsia"/>
              </w:rPr>
              <w:instrText xml:space="preserve">)</w:instrText>
            </w:r>
            <w:r>
              <w:fldChar w:fldCharType="end"/>
            </w:r>
            <w:r>
              <w:t>按照国家环境保护相关法律法规以及排污许可证申请与核发技术规范要求申请排污许可证，不得无证排污或不按证排污。申请排污许可证后，排污单位应按照自行监测方案开展自行监测；按照排污许可证中环境管理台账记录要求记录相关内容，记录频次形式等；按照排污许可证中执行报告要求定期上报等；按照排污许可证要求定期开展信息公开；排污单位应满足特殊时段污染防治要求。</w:t>
            </w:r>
          </w:p>
          <w:p>
            <w:pPr>
              <w:spacing w:line="360" w:lineRule="auto"/>
              <w:ind w:firstLine="420" w:firstLineChars="200"/>
              <w:rPr>
                <w:rFonts w:ascii="宋体" w:hAnsi="宋体"/>
                <w:szCs w:val="21"/>
              </w:rPr>
            </w:pPr>
            <w:r>
              <w:rPr>
                <w:rFonts w:hint="eastAsia" w:ascii="宋体" w:hAnsi="宋体"/>
                <w:szCs w:val="21"/>
              </w:rPr>
              <w:t>排污口图形符号见下表。</w:t>
            </w:r>
          </w:p>
          <w:p>
            <w:pPr>
              <w:pStyle w:val="65"/>
              <w:adjustRightInd w:val="0"/>
              <w:snapToGrid w:val="0"/>
              <w:spacing w:before="120" w:beforeLines="50" w:line="240" w:lineRule="auto"/>
              <w:ind w:firstLine="422"/>
              <w:jc w:val="center"/>
              <w:rPr>
                <w:rFonts w:ascii="Times New Roman" w:hAnsi="Times New Roman" w:cs="Times New Roman"/>
                <w:b/>
                <w:sz w:val="21"/>
                <w:szCs w:val="21"/>
              </w:rPr>
            </w:pPr>
            <w:r>
              <w:rPr>
                <w:rFonts w:ascii="Times New Roman" w:hAnsi="Times New Roman" w:cs="Times New Roman"/>
                <w:b/>
                <w:sz w:val="21"/>
                <w:szCs w:val="21"/>
              </w:rPr>
              <w:t>表3</w:t>
            </w:r>
            <w:r>
              <w:rPr>
                <w:rFonts w:hint="eastAsia" w:ascii="Times New Roman" w:hAnsi="Times New Roman" w:cs="Times New Roman"/>
                <w:b/>
                <w:sz w:val="21"/>
                <w:szCs w:val="21"/>
              </w:rPr>
              <w:t>4</w:t>
            </w:r>
            <w:r>
              <w:rPr>
                <w:rFonts w:ascii="Times New Roman" w:hAnsi="Times New Roman" w:cs="Times New Roman"/>
                <w:b/>
                <w:sz w:val="21"/>
                <w:szCs w:val="21"/>
              </w:rPr>
              <w:t xml:space="preserve">  厂区排污口图形符号（提示标志）一览表</w:t>
            </w:r>
          </w:p>
          <w:tbl>
            <w:tblPr>
              <w:tblStyle w:val="18"/>
              <w:tblW w:w="84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3"/>
              <w:gridCol w:w="1699"/>
              <w:gridCol w:w="1568"/>
              <w:gridCol w:w="1576"/>
              <w:gridCol w:w="1407"/>
              <w:gridCol w:w="14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4" w:hRule="atLeast"/>
                <w:jc w:val="center"/>
              </w:trPr>
              <w:tc>
                <w:tcPr>
                  <w:tcW w:w="918" w:type="dxa"/>
                  <w:vAlign w:val="center"/>
                </w:tcPr>
                <w:p>
                  <w:pPr>
                    <w:adjustRightInd w:val="0"/>
                    <w:snapToGrid w:val="0"/>
                    <w:jc w:val="center"/>
                    <w:rPr>
                      <w:rFonts w:ascii="宋体" w:hAnsi="宋体"/>
                      <w:szCs w:val="21"/>
                      <w:lang w:val="en-GB"/>
                    </w:rPr>
                  </w:pPr>
                  <w:r>
                    <w:rPr>
                      <w:rFonts w:hint="eastAsia" w:ascii="宋体" w:hAnsi="宋体"/>
                      <w:szCs w:val="21"/>
                      <w:lang w:val="en-GB"/>
                    </w:rPr>
                    <w:t>排放部位</w:t>
                  </w:r>
                </w:p>
                <w:p>
                  <w:pPr>
                    <w:adjustRightInd w:val="0"/>
                    <w:snapToGrid w:val="0"/>
                    <w:jc w:val="center"/>
                    <w:rPr>
                      <w:rFonts w:ascii="宋体" w:hAnsi="宋体"/>
                      <w:szCs w:val="21"/>
                      <w:lang w:val="en-GB"/>
                    </w:rPr>
                  </w:pPr>
                  <w:r>
                    <w:rPr>
                      <w:rFonts w:hint="eastAsia" w:ascii="宋体" w:hAnsi="宋体"/>
                      <w:szCs w:val="21"/>
                      <w:lang w:val="en-GB"/>
                    </w:rPr>
                    <w:t>项目</w:t>
                  </w:r>
                </w:p>
              </w:tc>
              <w:tc>
                <w:tcPr>
                  <w:tcW w:w="1759" w:type="dxa"/>
                  <w:vAlign w:val="center"/>
                </w:tcPr>
                <w:p>
                  <w:pPr>
                    <w:adjustRightInd w:val="0"/>
                    <w:snapToGrid w:val="0"/>
                    <w:jc w:val="center"/>
                    <w:rPr>
                      <w:rFonts w:ascii="宋体" w:hAnsi="宋体"/>
                      <w:szCs w:val="21"/>
                      <w:lang w:val="en-GB"/>
                    </w:rPr>
                  </w:pPr>
                  <w:r>
                    <w:rPr>
                      <w:rFonts w:hint="eastAsia" w:ascii="宋体" w:hAnsi="宋体"/>
                      <w:szCs w:val="21"/>
                      <w:lang w:val="en-GB"/>
                    </w:rPr>
                    <w:t>污水排放口</w:t>
                  </w:r>
                </w:p>
              </w:tc>
              <w:tc>
                <w:tcPr>
                  <w:tcW w:w="1619" w:type="dxa"/>
                  <w:vAlign w:val="center"/>
                </w:tcPr>
                <w:p>
                  <w:pPr>
                    <w:adjustRightInd w:val="0"/>
                    <w:snapToGrid w:val="0"/>
                    <w:jc w:val="center"/>
                    <w:rPr>
                      <w:rFonts w:ascii="宋体" w:hAnsi="宋体"/>
                      <w:szCs w:val="21"/>
                      <w:lang w:val="en-GB"/>
                    </w:rPr>
                  </w:pPr>
                  <w:r>
                    <w:rPr>
                      <w:rFonts w:hint="eastAsia" w:ascii="宋体" w:hAnsi="宋体"/>
                      <w:szCs w:val="21"/>
                      <w:lang w:val="en-GB"/>
                    </w:rPr>
                    <w:t>废气排放口</w:t>
                  </w:r>
                </w:p>
              </w:tc>
              <w:tc>
                <w:tcPr>
                  <w:tcW w:w="1629" w:type="dxa"/>
                  <w:vAlign w:val="center"/>
                </w:tcPr>
                <w:p>
                  <w:pPr>
                    <w:adjustRightInd w:val="0"/>
                    <w:snapToGrid w:val="0"/>
                    <w:jc w:val="center"/>
                    <w:rPr>
                      <w:rFonts w:ascii="宋体" w:hAnsi="宋体"/>
                      <w:szCs w:val="21"/>
                      <w:lang w:val="en-GB"/>
                    </w:rPr>
                  </w:pPr>
                  <w:r>
                    <w:rPr>
                      <w:rFonts w:hint="eastAsia" w:ascii="宋体" w:hAnsi="宋体"/>
                      <w:szCs w:val="21"/>
                      <w:lang w:val="en-GB"/>
                    </w:rPr>
                    <w:t>噪声排放源</w:t>
                  </w:r>
                </w:p>
              </w:tc>
              <w:tc>
                <w:tcPr>
                  <w:tcW w:w="1419" w:type="dxa"/>
                  <w:vAlign w:val="center"/>
                </w:tcPr>
                <w:p>
                  <w:pPr>
                    <w:adjustRightInd w:val="0"/>
                    <w:snapToGrid w:val="0"/>
                    <w:jc w:val="center"/>
                    <w:rPr>
                      <w:rFonts w:ascii="宋体" w:hAnsi="宋体"/>
                      <w:szCs w:val="21"/>
                      <w:lang w:val="en-GB"/>
                    </w:rPr>
                  </w:pPr>
                  <w:r>
                    <w:rPr>
                      <w:rFonts w:hint="eastAsia" w:ascii="宋体" w:hAnsi="宋体"/>
                      <w:szCs w:val="21"/>
                      <w:lang w:val="en-GB"/>
                    </w:rPr>
                    <w:t>固体废物</w:t>
                  </w:r>
                </w:p>
              </w:tc>
              <w:tc>
                <w:tcPr>
                  <w:tcW w:w="1145" w:type="dxa"/>
                  <w:vAlign w:val="center"/>
                </w:tcPr>
                <w:p>
                  <w:pPr>
                    <w:adjustRightInd w:val="0"/>
                    <w:snapToGrid w:val="0"/>
                    <w:jc w:val="center"/>
                    <w:rPr>
                      <w:rFonts w:ascii="宋体" w:hAnsi="宋体"/>
                      <w:szCs w:val="21"/>
                      <w:lang w:val="en-GB"/>
                    </w:rPr>
                  </w:pPr>
                  <w:r>
                    <w:rPr>
                      <w:rFonts w:hint="eastAsia" w:ascii="宋体" w:hAnsi="宋体"/>
                      <w:szCs w:val="21"/>
                      <w:lang w:val="en-GB"/>
                    </w:rPr>
                    <w:t>危险废物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2" w:hRule="atLeast"/>
                <w:jc w:val="center"/>
              </w:trPr>
              <w:tc>
                <w:tcPr>
                  <w:tcW w:w="918" w:type="dxa"/>
                  <w:vAlign w:val="center"/>
                </w:tcPr>
                <w:p>
                  <w:pPr>
                    <w:adjustRightInd w:val="0"/>
                    <w:snapToGrid w:val="0"/>
                    <w:jc w:val="center"/>
                    <w:rPr>
                      <w:rFonts w:ascii="宋体" w:hAnsi="宋体"/>
                      <w:szCs w:val="21"/>
                      <w:lang w:val="en-GB"/>
                    </w:rPr>
                  </w:pPr>
                  <w:r>
                    <w:rPr>
                      <w:rFonts w:hint="eastAsia" w:ascii="宋体" w:hAnsi="宋体"/>
                      <w:szCs w:val="21"/>
                      <w:lang w:val="en-GB"/>
                    </w:rPr>
                    <w:t>图形符号</w:t>
                  </w:r>
                </w:p>
              </w:tc>
              <w:tc>
                <w:tcPr>
                  <w:tcW w:w="1759" w:type="dxa"/>
                  <w:vAlign w:val="center"/>
                </w:tcPr>
                <w:p>
                  <w:pPr>
                    <w:adjustRightInd w:val="0"/>
                    <w:snapToGrid w:val="0"/>
                    <w:jc w:val="center"/>
                    <w:rPr>
                      <w:rFonts w:ascii="宋体" w:hAnsi="宋体"/>
                      <w:szCs w:val="21"/>
                      <w:lang w:val="en-GB"/>
                    </w:rPr>
                  </w:pPr>
                  <w:r>
                    <w:rPr>
                      <w:rFonts w:ascii="宋体" w:hAnsi="宋体"/>
                      <w:szCs w:val="21"/>
                    </w:rPr>
                    <w:drawing>
                      <wp:inline distT="0" distB="0" distL="114300" distR="114300">
                        <wp:extent cx="762635" cy="723900"/>
                        <wp:effectExtent l="0" t="0" r="18415" b="0"/>
                        <wp:docPr id="1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5"/>
                                <pic:cNvPicPr>
                                  <a:picLocks noChangeAspect="1"/>
                                </pic:cNvPicPr>
                              </pic:nvPicPr>
                              <pic:blipFill>
                                <a:blip r:embed="rId17"/>
                                <a:stretch>
                                  <a:fillRect/>
                                </a:stretch>
                              </pic:blipFill>
                              <pic:spPr>
                                <a:xfrm>
                                  <a:off x="0" y="0"/>
                                  <a:ext cx="762635" cy="723900"/>
                                </a:xfrm>
                                <a:prstGeom prst="rect">
                                  <a:avLst/>
                                </a:prstGeom>
                                <a:noFill/>
                                <a:ln>
                                  <a:noFill/>
                                </a:ln>
                              </pic:spPr>
                            </pic:pic>
                          </a:graphicData>
                        </a:graphic>
                      </wp:inline>
                    </w:drawing>
                  </w:r>
                </w:p>
              </w:tc>
              <w:tc>
                <w:tcPr>
                  <w:tcW w:w="1619" w:type="dxa"/>
                  <w:vAlign w:val="center"/>
                </w:tcPr>
                <w:p>
                  <w:pPr>
                    <w:adjustRightInd w:val="0"/>
                    <w:snapToGrid w:val="0"/>
                    <w:jc w:val="center"/>
                    <w:rPr>
                      <w:rFonts w:ascii="宋体" w:hAnsi="宋体"/>
                      <w:szCs w:val="21"/>
                      <w:lang w:val="en-GB"/>
                    </w:rPr>
                  </w:pPr>
                  <w:r>
                    <w:rPr>
                      <w:rFonts w:ascii="宋体" w:hAnsi="宋体"/>
                      <w:szCs w:val="21"/>
                    </w:rPr>
                    <w:drawing>
                      <wp:inline distT="0" distB="0" distL="114300" distR="114300">
                        <wp:extent cx="723900" cy="723900"/>
                        <wp:effectExtent l="0" t="0" r="0" b="0"/>
                        <wp:docPr id="1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6"/>
                                <pic:cNvPicPr>
                                  <a:picLocks noChangeAspect="1"/>
                                </pic:cNvPicPr>
                              </pic:nvPicPr>
                              <pic:blipFill>
                                <a:blip r:embed="rId18"/>
                                <a:stretch>
                                  <a:fillRect/>
                                </a:stretch>
                              </pic:blipFill>
                              <pic:spPr>
                                <a:xfrm>
                                  <a:off x="0" y="0"/>
                                  <a:ext cx="723900" cy="723900"/>
                                </a:xfrm>
                                <a:prstGeom prst="rect">
                                  <a:avLst/>
                                </a:prstGeom>
                                <a:noFill/>
                                <a:ln>
                                  <a:noFill/>
                                </a:ln>
                              </pic:spPr>
                            </pic:pic>
                          </a:graphicData>
                        </a:graphic>
                      </wp:inline>
                    </w:drawing>
                  </w:r>
                </w:p>
              </w:tc>
              <w:tc>
                <w:tcPr>
                  <w:tcW w:w="1629" w:type="dxa"/>
                  <w:vAlign w:val="center"/>
                </w:tcPr>
                <w:p>
                  <w:pPr>
                    <w:adjustRightInd w:val="0"/>
                    <w:snapToGrid w:val="0"/>
                    <w:jc w:val="center"/>
                    <w:rPr>
                      <w:rFonts w:ascii="宋体" w:hAnsi="宋体"/>
                      <w:szCs w:val="21"/>
                      <w:lang w:val="en-GB"/>
                    </w:rPr>
                  </w:pPr>
                  <w:r>
                    <w:rPr>
                      <w:rFonts w:ascii="宋体" w:hAnsi="宋体"/>
                      <w:szCs w:val="21"/>
                    </w:rPr>
                    <w:drawing>
                      <wp:inline distT="0" distB="0" distL="114300" distR="114300">
                        <wp:extent cx="723900" cy="723900"/>
                        <wp:effectExtent l="0" t="0" r="0" b="0"/>
                        <wp:docPr id="1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7"/>
                                <pic:cNvPicPr>
                                  <a:picLocks noChangeAspect="1"/>
                                </pic:cNvPicPr>
                              </pic:nvPicPr>
                              <pic:blipFill>
                                <a:blip r:embed="rId19"/>
                                <a:stretch>
                                  <a:fillRect/>
                                </a:stretch>
                              </pic:blipFill>
                              <pic:spPr>
                                <a:xfrm>
                                  <a:off x="0" y="0"/>
                                  <a:ext cx="723900" cy="723900"/>
                                </a:xfrm>
                                <a:prstGeom prst="rect">
                                  <a:avLst/>
                                </a:prstGeom>
                                <a:noFill/>
                                <a:ln>
                                  <a:noFill/>
                                </a:ln>
                              </pic:spPr>
                            </pic:pic>
                          </a:graphicData>
                        </a:graphic>
                      </wp:inline>
                    </w:drawing>
                  </w:r>
                </w:p>
              </w:tc>
              <w:tc>
                <w:tcPr>
                  <w:tcW w:w="1419" w:type="dxa"/>
                  <w:vAlign w:val="center"/>
                </w:tcPr>
                <w:p>
                  <w:pPr>
                    <w:adjustRightInd w:val="0"/>
                    <w:snapToGrid w:val="0"/>
                    <w:jc w:val="center"/>
                    <w:rPr>
                      <w:rFonts w:ascii="宋体" w:hAnsi="宋体"/>
                      <w:szCs w:val="21"/>
                      <w:lang w:val="en-GB"/>
                    </w:rPr>
                  </w:pPr>
                  <w:r>
                    <w:rPr>
                      <w:rFonts w:ascii="宋体" w:hAnsi="宋体"/>
                      <w:szCs w:val="21"/>
                    </w:rPr>
                    <w:drawing>
                      <wp:inline distT="0" distB="0" distL="114300" distR="114300">
                        <wp:extent cx="723900" cy="723900"/>
                        <wp:effectExtent l="0" t="0" r="0" b="0"/>
                        <wp:docPr id="1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8"/>
                                <pic:cNvPicPr>
                                  <a:picLocks noChangeAspect="1"/>
                                </pic:cNvPicPr>
                              </pic:nvPicPr>
                              <pic:blipFill>
                                <a:blip r:embed="rId20"/>
                                <a:stretch>
                                  <a:fillRect/>
                                </a:stretch>
                              </pic:blipFill>
                              <pic:spPr>
                                <a:xfrm>
                                  <a:off x="0" y="0"/>
                                  <a:ext cx="723900" cy="723900"/>
                                </a:xfrm>
                                <a:prstGeom prst="rect">
                                  <a:avLst/>
                                </a:prstGeom>
                                <a:noFill/>
                                <a:ln>
                                  <a:noFill/>
                                </a:ln>
                              </pic:spPr>
                            </pic:pic>
                          </a:graphicData>
                        </a:graphic>
                      </wp:inline>
                    </w:drawing>
                  </w:r>
                </w:p>
              </w:tc>
              <w:tc>
                <w:tcPr>
                  <w:tcW w:w="1145" w:type="dxa"/>
                  <w:vAlign w:val="center"/>
                </w:tcPr>
                <w:p>
                  <w:pPr>
                    <w:adjustRightInd w:val="0"/>
                    <w:snapToGrid w:val="0"/>
                    <w:jc w:val="center"/>
                    <w:rPr>
                      <w:rFonts w:ascii="宋体" w:hAnsi="宋体"/>
                      <w:szCs w:val="21"/>
                    </w:rPr>
                  </w:pPr>
                  <w:r>
                    <w:rPr>
                      <w:rFonts w:ascii="宋体" w:hAnsi="宋体"/>
                      <w:szCs w:val="21"/>
                    </w:rPr>
                    <w:drawing>
                      <wp:inline distT="0" distB="0" distL="0" distR="0">
                        <wp:extent cx="761365" cy="690245"/>
                        <wp:effectExtent l="0" t="0" r="635" b="0"/>
                        <wp:docPr id="6" name="图片 6" descr="C:\Users\DELL\Documents\WeChat Files\wxid_crlj65gxg1rc22\FileStorage\Temp\16612373048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C:\Users\DELL\Documents\WeChat Files\wxid_crlj65gxg1rc22\FileStorage\Temp\1661237304863.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758888" cy="688173"/>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918" w:type="dxa"/>
                  <w:vAlign w:val="center"/>
                </w:tcPr>
                <w:p>
                  <w:pPr>
                    <w:adjustRightInd w:val="0"/>
                    <w:snapToGrid w:val="0"/>
                    <w:jc w:val="center"/>
                    <w:rPr>
                      <w:rFonts w:ascii="宋体" w:hAnsi="宋体"/>
                      <w:szCs w:val="21"/>
                      <w:lang w:val="en-GB"/>
                    </w:rPr>
                  </w:pPr>
                  <w:r>
                    <w:rPr>
                      <w:rFonts w:hint="eastAsia" w:ascii="宋体" w:hAnsi="宋体"/>
                      <w:szCs w:val="21"/>
                      <w:lang w:val="en-GB"/>
                    </w:rPr>
                    <w:t>形状</w:t>
                  </w:r>
                </w:p>
              </w:tc>
              <w:tc>
                <w:tcPr>
                  <w:tcW w:w="6426" w:type="dxa"/>
                  <w:gridSpan w:val="4"/>
                  <w:vAlign w:val="center"/>
                </w:tcPr>
                <w:p>
                  <w:pPr>
                    <w:adjustRightInd w:val="0"/>
                    <w:snapToGrid w:val="0"/>
                    <w:jc w:val="center"/>
                    <w:rPr>
                      <w:rFonts w:ascii="宋体" w:hAnsi="宋体"/>
                      <w:szCs w:val="21"/>
                      <w:lang w:val="en-GB"/>
                    </w:rPr>
                  </w:pPr>
                  <w:r>
                    <w:rPr>
                      <w:rFonts w:hint="eastAsia" w:ascii="宋体" w:hAnsi="宋体"/>
                      <w:szCs w:val="21"/>
                      <w:lang w:val="en-GB"/>
                    </w:rPr>
                    <w:t>正方形边框</w:t>
                  </w:r>
                </w:p>
              </w:tc>
              <w:tc>
                <w:tcPr>
                  <w:tcW w:w="1145" w:type="dxa"/>
                  <w:vAlign w:val="center"/>
                </w:tcPr>
                <w:p>
                  <w:pPr>
                    <w:adjustRightInd w:val="0"/>
                    <w:snapToGrid w:val="0"/>
                    <w:jc w:val="center"/>
                    <w:rPr>
                      <w:rFonts w:ascii="宋体" w:hAnsi="宋体"/>
                      <w:szCs w:val="21"/>
                      <w:lang w:val="en-GB"/>
                    </w:rPr>
                  </w:pPr>
                  <w:r>
                    <w:rPr>
                      <w:rFonts w:hint="eastAsia" w:ascii="宋体" w:hAnsi="宋体"/>
                      <w:szCs w:val="21"/>
                      <w:lang w:val="en-GB"/>
                    </w:rPr>
                    <w:t>等边三角形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918" w:type="dxa"/>
                  <w:vAlign w:val="center"/>
                </w:tcPr>
                <w:p>
                  <w:pPr>
                    <w:adjustRightInd w:val="0"/>
                    <w:snapToGrid w:val="0"/>
                    <w:jc w:val="center"/>
                    <w:rPr>
                      <w:rFonts w:ascii="宋体" w:hAnsi="宋体"/>
                      <w:szCs w:val="21"/>
                      <w:lang w:val="en-GB"/>
                    </w:rPr>
                  </w:pPr>
                  <w:r>
                    <w:rPr>
                      <w:rFonts w:hint="eastAsia" w:ascii="宋体" w:hAnsi="宋体"/>
                      <w:szCs w:val="21"/>
                      <w:lang w:val="en-GB"/>
                    </w:rPr>
                    <w:t>背景颜色</w:t>
                  </w:r>
                </w:p>
              </w:tc>
              <w:tc>
                <w:tcPr>
                  <w:tcW w:w="6426" w:type="dxa"/>
                  <w:gridSpan w:val="4"/>
                  <w:vAlign w:val="center"/>
                </w:tcPr>
                <w:p>
                  <w:pPr>
                    <w:adjustRightInd w:val="0"/>
                    <w:snapToGrid w:val="0"/>
                    <w:jc w:val="center"/>
                    <w:rPr>
                      <w:rFonts w:ascii="宋体" w:hAnsi="宋体"/>
                      <w:szCs w:val="21"/>
                      <w:lang w:val="en-GB"/>
                    </w:rPr>
                  </w:pPr>
                  <w:r>
                    <w:rPr>
                      <w:rFonts w:hint="eastAsia" w:ascii="宋体" w:hAnsi="宋体"/>
                      <w:szCs w:val="21"/>
                      <w:lang w:val="en-GB"/>
                    </w:rPr>
                    <w:t>绿色</w:t>
                  </w:r>
                </w:p>
              </w:tc>
              <w:tc>
                <w:tcPr>
                  <w:tcW w:w="1145" w:type="dxa"/>
                  <w:vAlign w:val="center"/>
                </w:tcPr>
                <w:p>
                  <w:pPr>
                    <w:adjustRightInd w:val="0"/>
                    <w:snapToGrid w:val="0"/>
                    <w:jc w:val="center"/>
                    <w:rPr>
                      <w:rFonts w:ascii="宋体" w:hAnsi="宋体"/>
                      <w:szCs w:val="21"/>
                      <w:lang w:val="en-GB"/>
                    </w:rPr>
                  </w:pPr>
                  <w:r>
                    <w:rPr>
                      <w:rFonts w:hint="eastAsia" w:ascii="宋体" w:hAnsi="宋体"/>
                      <w:szCs w:val="21"/>
                      <w:lang w:val="en-GB"/>
                    </w:rPr>
                    <w:t>黄色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918" w:type="dxa"/>
                  <w:vAlign w:val="center"/>
                </w:tcPr>
                <w:p>
                  <w:pPr>
                    <w:adjustRightInd w:val="0"/>
                    <w:snapToGrid w:val="0"/>
                    <w:jc w:val="center"/>
                    <w:rPr>
                      <w:rFonts w:ascii="宋体" w:hAnsi="宋体"/>
                      <w:szCs w:val="21"/>
                      <w:lang w:val="en-GB"/>
                    </w:rPr>
                  </w:pPr>
                  <w:r>
                    <w:rPr>
                      <w:rFonts w:hint="eastAsia" w:ascii="宋体" w:hAnsi="宋体"/>
                      <w:szCs w:val="21"/>
                      <w:lang w:val="en-GB"/>
                    </w:rPr>
                    <w:t>图形颜色</w:t>
                  </w:r>
                </w:p>
              </w:tc>
              <w:tc>
                <w:tcPr>
                  <w:tcW w:w="6426" w:type="dxa"/>
                  <w:gridSpan w:val="4"/>
                  <w:vAlign w:val="center"/>
                </w:tcPr>
                <w:p>
                  <w:pPr>
                    <w:adjustRightInd w:val="0"/>
                    <w:snapToGrid w:val="0"/>
                    <w:jc w:val="center"/>
                    <w:rPr>
                      <w:rFonts w:ascii="宋体" w:hAnsi="宋体"/>
                      <w:szCs w:val="21"/>
                      <w:lang w:val="en-GB"/>
                    </w:rPr>
                  </w:pPr>
                  <w:r>
                    <w:rPr>
                      <w:rFonts w:hint="eastAsia" w:ascii="宋体" w:hAnsi="宋体"/>
                      <w:szCs w:val="21"/>
                      <w:lang w:val="en-GB"/>
                    </w:rPr>
                    <w:t>白色</w:t>
                  </w:r>
                </w:p>
              </w:tc>
              <w:tc>
                <w:tcPr>
                  <w:tcW w:w="1145" w:type="dxa"/>
                  <w:vAlign w:val="center"/>
                </w:tcPr>
                <w:p>
                  <w:pPr>
                    <w:adjustRightInd w:val="0"/>
                    <w:snapToGrid w:val="0"/>
                    <w:jc w:val="center"/>
                    <w:rPr>
                      <w:rFonts w:ascii="宋体" w:hAnsi="宋体"/>
                      <w:szCs w:val="21"/>
                      <w:lang w:val="en-GB"/>
                    </w:rPr>
                  </w:pPr>
                  <w:r>
                    <w:rPr>
                      <w:rFonts w:hint="eastAsia" w:ascii="宋体" w:hAnsi="宋体"/>
                      <w:szCs w:val="21"/>
                      <w:lang w:val="en-GB"/>
                    </w:rPr>
                    <w:t>黑色</w:t>
                  </w:r>
                </w:p>
              </w:tc>
            </w:tr>
          </w:tbl>
          <w:p>
            <w:pPr>
              <w:adjustRightInd w:val="0"/>
              <w:snapToGrid w:val="0"/>
              <w:spacing w:line="360" w:lineRule="auto"/>
              <w:ind w:firstLine="420" w:firstLineChars="200"/>
              <w:rPr>
                <w:rFonts w:ascii="Times New Roman" w:hAnsi="Times New Roman" w:eastAsia="宋体" w:cs="Times New Roman"/>
                <w:snapToGrid w:val="0"/>
                <w:szCs w:val="21"/>
              </w:rPr>
            </w:pPr>
            <w:r>
              <w:rPr>
                <w:rFonts w:hint="eastAsia" w:ascii="Times New Roman" w:hAnsi="Times New Roman" w:eastAsia="宋体" w:cs="Times New Roman"/>
                <w:snapToGrid w:val="0"/>
                <w:szCs w:val="21"/>
              </w:rPr>
              <w:t>10、碳排放影响分析</w:t>
            </w:r>
          </w:p>
          <w:p>
            <w:pPr>
              <w:adjustRightInd w:val="0"/>
              <w:snapToGrid w:val="0"/>
              <w:spacing w:line="360" w:lineRule="auto"/>
              <w:ind w:firstLine="420" w:firstLineChars="200"/>
              <w:rPr>
                <w:rFonts w:hAnsi="宋体"/>
                <w:snapToGrid w:val="0"/>
                <w:szCs w:val="21"/>
              </w:rPr>
            </w:pPr>
            <w:bookmarkStart w:id="5" w:name="_Toc465954898"/>
            <w:r>
              <w:rPr>
                <w:rFonts w:hint="eastAsia" w:hAnsi="宋体"/>
                <w:snapToGrid w:val="0"/>
                <w:szCs w:val="21"/>
              </w:rPr>
              <w:t>根据《秦皇岛市深入打好污染防治攻坚战实施方案》（秦皇岛市委、市政府</w:t>
            </w:r>
            <w:r>
              <w:rPr>
                <w:rFonts w:hAnsi="宋体"/>
                <w:snapToGrid w:val="0"/>
                <w:szCs w:val="21"/>
              </w:rPr>
              <w:t>2022</w:t>
            </w:r>
            <w:r>
              <w:rPr>
                <w:rFonts w:hint="eastAsia" w:hAnsi="宋体"/>
                <w:snapToGrid w:val="0"/>
                <w:szCs w:val="21"/>
              </w:rPr>
              <w:t>年</w:t>
            </w:r>
            <w:r>
              <w:rPr>
                <w:rFonts w:hAnsi="宋体"/>
                <w:snapToGrid w:val="0"/>
                <w:szCs w:val="21"/>
              </w:rPr>
              <w:t>7</w:t>
            </w:r>
            <w:r>
              <w:rPr>
                <w:rFonts w:hint="eastAsia" w:hAnsi="宋体"/>
                <w:snapToGrid w:val="0"/>
                <w:szCs w:val="21"/>
              </w:rPr>
              <w:t>月</w:t>
            </w:r>
            <w:r>
              <w:rPr>
                <w:rFonts w:hAnsi="宋体"/>
                <w:snapToGrid w:val="0"/>
                <w:szCs w:val="21"/>
              </w:rPr>
              <w:t>9</w:t>
            </w:r>
            <w:r>
              <w:rPr>
                <w:rFonts w:hint="eastAsia" w:hAnsi="宋体"/>
                <w:snapToGrid w:val="0"/>
                <w:szCs w:val="21"/>
              </w:rPr>
              <w:t>日发布）</w:t>
            </w:r>
            <w:bookmarkEnd w:id="5"/>
            <w:r>
              <w:rPr>
                <w:rFonts w:hint="eastAsia" w:hAnsi="宋体"/>
                <w:snapToGrid w:val="0"/>
                <w:szCs w:val="21"/>
              </w:rPr>
              <w:t>相关要求，开展碳排放影响评价。</w:t>
            </w:r>
          </w:p>
          <w:p>
            <w:pPr>
              <w:adjustRightInd w:val="0"/>
              <w:snapToGrid w:val="0"/>
              <w:spacing w:line="360" w:lineRule="auto"/>
              <w:ind w:firstLine="420" w:firstLineChars="200"/>
              <w:rPr>
                <w:rFonts w:hAnsi="宋体"/>
                <w:snapToGrid w:val="0"/>
                <w:szCs w:val="21"/>
              </w:rPr>
            </w:pPr>
            <w:r>
              <w:rPr>
                <w:rFonts w:hint="eastAsia" w:hAnsi="宋体"/>
                <w:snapToGrid w:val="0"/>
                <w:szCs w:val="21"/>
              </w:rPr>
              <w:t>根据项目特点，碳排放核算范围包括购入电力、柴油燃烧产生的二氧化碳排放。</w:t>
            </w:r>
          </w:p>
          <w:p>
            <w:pPr>
              <w:spacing w:line="360" w:lineRule="auto"/>
              <w:ind w:firstLine="480"/>
              <w:rPr>
                <w:rFonts w:ascii="Times New Roman" w:hAnsi="Times New Roman" w:eastAsia="宋体" w:cs="Times New Roman"/>
                <w:szCs w:val="21"/>
              </w:rPr>
            </w:pPr>
            <w:r>
              <w:rPr>
                <w:rFonts w:hint="eastAsia" w:ascii="Times New Roman" w:hAnsi="Times New Roman" w:eastAsia="宋体" w:cs="Times New Roman"/>
                <w:bCs/>
                <w:kern w:val="0"/>
                <w:szCs w:val="21"/>
              </w:rPr>
              <w:t>（1）</w:t>
            </w:r>
            <w:r>
              <w:rPr>
                <w:rFonts w:hint="eastAsia" w:ascii="Times New Roman" w:hAnsi="Times New Roman" w:eastAsia="宋体" w:cs="Times New Roman"/>
                <w:szCs w:val="21"/>
              </w:rPr>
              <w:t>购入电力</w:t>
            </w:r>
          </w:p>
          <w:p>
            <w:pPr>
              <w:spacing w:line="360" w:lineRule="auto"/>
              <w:ind w:firstLine="480"/>
              <w:rPr>
                <w:rFonts w:ascii="Times New Roman" w:hAnsi="Times New Roman" w:eastAsia="宋体" w:cs="Times New Roman"/>
                <w:bCs/>
                <w:kern w:val="0"/>
                <w:szCs w:val="21"/>
              </w:rPr>
            </w:pPr>
            <w:r>
              <w:rPr>
                <w:rFonts w:hint="eastAsia" w:ascii="Times New Roman" w:hAnsi="Times New Roman" w:eastAsia="宋体" w:cs="Times New Roman"/>
                <w:bCs/>
                <w:kern w:val="0"/>
                <w:szCs w:val="21"/>
              </w:rPr>
              <w:t>对于购入电力产生的二氧化碳排放，采用下式计算。</w:t>
            </w:r>
          </w:p>
          <w:p>
            <w:pPr>
              <w:spacing w:line="360" w:lineRule="auto"/>
              <w:ind w:firstLine="480"/>
              <w:rPr>
                <w:rFonts w:ascii="Times New Roman" w:hAnsi="Times New Roman" w:eastAsia="宋体" w:cs="Times New Roman"/>
                <w:bCs/>
                <w:kern w:val="0"/>
                <w:szCs w:val="21"/>
              </w:rPr>
            </w:pPr>
            <w:r>
              <w:rPr>
                <w:rFonts w:hint="eastAsia" w:ascii="Times New Roman" w:hAnsi="Times New Roman" w:eastAsia="宋体" w:cs="Times New Roman"/>
                <w:bCs/>
                <w:kern w:val="0"/>
                <w:szCs w:val="21"/>
              </w:rPr>
              <w:t>E</w:t>
            </w:r>
            <w:r>
              <w:rPr>
                <w:rFonts w:hint="eastAsia" w:ascii="Times New Roman" w:hAnsi="Times New Roman" w:eastAsia="宋体" w:cs="Times New Roman"/>
                <w:bCs/>
                <w:kern w:val="0"/>
                <w:szCs w:val="21"/>
                <w:vertAlign w:val="subscript"/>
              </w:rPr>
              <w:t>电和热</w:t>
            </w:r>
            <w:r>
              <w:rPr>
                <w:rFonts w:hint="eastAsia" w:ascii="Times New Roman" w:hAnsi="Times New Roman" w:eastAsia="宋体" w:cs="Times New Roman"/>
                <w:bCs/>
                <w:kern w:val="0"/>
                <w:szCs w:val="21"/>
              </w:rPr>
              <w:t>=AD</w:t>
            </w:r>
            <w:r>
              <w:rPr>
                <w:rFonts w:hint="eastAsia" w:ascii="Times New Roman" w:hAnsi="Times New Roman" w:eastAsia="宋体" w:cs="Times New Roman"/>
                <w:bCs/>
                <w:kern w:val="0"/>
                <w:szCs w:val="21"/>
                <w:vertAlign w:val="subscript"/>
              </w:rPr>
              <w:t>电</w:t>
            </w:r>
            <w:r>
              <w:rPr>
                <w:rFonts w:hint="eastAsia" w:ascii="宋体" w:hAnsi="宋体" w:eastAsia="宋体" w:cs="Times New Roman"/>
                <w:bCs/>
                <w:kern w:val="0"/>
                <w:szCs w:val="21"/>
              </w:rPr>
              <w:t>×</w:t>
            </w:r>
            <w:r>
              <w:rPr>
                <w:rFonts w:hint="eastAsia" w:ascii="Times New Roman" w:hAnsi="Times New Roman" w:eastAsia="宋体" w:cs="Times New Roman"/>
                <w:bCs/>
                <w:kern w:val="0"/>
                <w:szCs w:val="21"/>
              </w:rPr>
              <w:t>EF</w:t>
            </w:r>
            <w:r>
              <w:rPr>
                <w:rFonts w:hint="eastAsia" w:ascii="Times New Roman" w:hAnsi="Times New Roman" w:eastAsia="宋体" w:cs="Times New Roman"/>
                <w:bCs/>
                <w:kern w:val="0"/>
                <w:szCs w:val="21"/>
                <w:vertAlign w:val="subscript"/>
              </w:rPr>
              <w:t>电</w:t>
            </w:r>
          </w:p>
          <w:p>
            <w:pPr>
              <w:spacing w:line="360" w:lineRule="auto"/>
              <w:ind w:firstLine="480"/>
              <w:rPr>
                <w:rFonts w:ascii="Times New Roman" w:hAnsi="Times New Roman" w:eastAsia="宋体" w:cs="Times New Roman"/>
                <w:bCs/>
                <w:kern w:val="0"/>
                <w:szCs w:val="21"/>
              </w:rPr>
            </w:pPr>
            <w:r>
              <w:rPr>
                <w:rFonts w:hint="eastAsia" w:ascii="Times New Roman" w:hAnsi="Times New Roman" w:eastAsia="宋体" w:cs="Times New Roman"/>
                <w:bCs/>
                <w:kern w:val="0"/>
                <w:szCs w:val="21"/>
              </w:rPr>
              <w:t>式中：E</w:t>
            </w:r>
            <w:r>
              <w:rPr>
                <w:rFonts w:hint="eastAsia" w:ascii="Times New Roman" w:hAnsi="Times New Roman" w:eastAsia="宋体" w:cs="Times New Roman"/>
                <w:bCs/>
                <w:kern w:val="0"/>
                <w:szCs w:val="21"/>
                <w:vertAlign w:val="subscript"/>
              </w:rPr>
              <w:t>电</w:t>
            </w:r>
            <w:r>
              <w:rPr>
                <w:rFonts w:hint="eastAsia" w:ascii="Times New Roman" w:hAnsi="Times New Roman" w:eastAsia="宋体" w:cs="Times New Roman"/>
                <w:bCs/>
                <w:kern w:val="0"/>
                <w:szCs w:val="21"/>
              </w:rPr>
              <w:t>—购入使用电力产生的排放量，单位为吨二氧化碳（tCO</w:t>
            </w:r>
            <w:r>
              <w:rPr>
                <w:rFonts w:hint="eastAsia" w:ascii="Times New Roman" w:hAnsi="Times New Roman" w:eastAsia="宋体" w:cs="Times New Roman"/>
                <w:bCs/>
                <w:kern w:val="0"/>
                <w:szCs w:val="21"/>
                <w:vertAlign w:val="subscript"/>
              </w:rPr>
              <w:t>2</w:t>
            </w:r>
            <w:r>
              <w:rPr>
                <w:rFonts w:hint="eastAsia" w:ascii="Times New Roman" w:hAnsi="Times New Roman" w:eastAsia="宋体" w:cs="Times New Roman"/>
                <w:bCs/>
                <w:kern w:val="0"/>
                <w:szCs w:val="21"/>
              </w:rPr>
              <w:t>）；</w:t>
            </w:r>
          </w:p>
          <w:p>
            <w:pPr>
              <w:spacing w:line="360" w:lineRule="auto"/>
              <w:ind w:firstLine="1050" w:firstLineChars="500"/>
              <w:rPr>
                <w:rFonts w:ascii="Times New Roman" w:hAnsi="Times New Roman" w:eastAsia="宋体" w:cs="Times New Roman"/>
                <w:bCs/>
                <w:kern w:val="0"/>
                <w:szCs w:val="21"/>
              </w:rPr>
            </w:pPr>
            <w:r>
              <w:rPr>
                <w:rFonts w:hint="eastAsia" w:ascii="Times New Roman" w:hAnsi="Times New Roman" w:eastAsia="宋体" w:cs="Times New Roman"/>
                <w:bCs/>
                <w:kern w:val="0"/>
                <w:szCs w:val="21"/>
              </w:rPr>
              <w:t>AD</w:t>
            </w:r>
            <w:r>
              <w:rPr>
                <w:rFonts w:hint="eastAsia" w:ascii="Times New Roman" w:hAnsi="Times New Roman" w:eastAsia="宋体" w:cs="Times New Roman"/>
                <w:bCs/>
                <w:kern w:val="0"/>
                <w:szCs w:val="21"/>
                <w:vertAlign w:val="subscript"/>
              </w:rPr>
              <w:t>电</w:t>
            </w:r>
            <w:r>
              <w:rPr>
                <w:rFonts w:hint="eastAsia" w:ascii="Times New Roman" w:hAnsi="Times New Roman" w:eastAsia="宋体" w:cs="Times New Roman"/>
                <w:bCs/>
                <w:kern w:val="0"/>
                <w:szCs w:val="21"/>
              </w:rPr>
              <w:t>—购入使用电量，单位为兆瓦时（MWh）；</w:t>
            </w:r>
          </w:p>
          <w:p>
            <w:pPr>
              <w:spacing w:line="360" w:lineRule="auto"/>
              <w:ind w:firstLine="1050" w:firstLineChars="500"/>
              <w:rPr>
                <w:rFonts w:ascii="Times New Roman" w:hAnsi="Times New Roman" w:eastAsia="宋体" w:cs="Times New Roman"/>
                <w:bCs/>
                <w:kern w:val="0"/>
                <w:szCs w:val="21"/>
              </w:rPr>
            </w:pPr>
            <w:r>
              <w:rPr>
                <w:rFonts w:hint="eastAsia" w:ascii="Times New Roman" w:hAnsi="Times New Roman" w:eastAsia="宋体" w:cs="Times New Roman"/>
                <w:bCs/>
                <w:kern w:val="0"/>
                <w:szCs w:val="21"/>
              </w:rPr>
              <w:t>EF</w:t>
            </w:r>
            <w:r>
              <w:rPr>
                <w:rFonts w:hint="eastAsia" w:ascii="Times New Roman" w:hAnsi="Times New Roman" w:eastAsia="宋体" w:cs="Times New Roman"/>
                <w:bCs/>
                <w:kern w:val="0"/>
                <w:szCs w:val="21"/>
                <w:vertAlign w:val="subscript"/>
              </w:rPr>
              <w:t>电</w:t>
            </w:r>
            <w:r>
              <w:rPr>
                <w:rFonts w:hint="eastAsia" w:ascii="Times New Roman" w:hAnsi="Times New Roman" w:eastAsia="宋体" w:cs="Times New Roman"/>
                <w:bCs/>
                <w:kern w:val="0"/>
                <w:szCs w:val="21"/>
              </w:rPr>
              <w:t>—电网排放因子，单位为吨二氧化碳/兆瓦时（tCO</w:t>
            </w:r>
            <w:r>
              <w:rPr>
                <w:rFonts w:hint="eastAsia" w:ascii="Times New Roman" w:hAnsi="Times New Roman" w:eastAsia="宋体" w:cs="Times New Roman"/>
                <w:bCs/>
                <w:kern w:val="0"/>
                <w:szCs w:val="21"/>
                <w:vertAlign w:val="subscript"/>
              </w:rPr>
              <w:t>2</w:t>
            </w:r>
            <w:r>
              <w:rPr>
                <w:rFonts w:hint="eastAsia" w:ascii="Times New Roman" w:hAnsi="Times New Roman" w:eastAsia="宋体" w:cs="Times New Roman"/>
                <w:bCs/>
                <w:kern w:val="0"/>
                <w:szCs w:val="21"/>
              </w:rPr>
              <w:t>/MWh）；</w:t>
            </w:r>
          </w:p>
          <w:p>
            <w:pPr>
              <w:spacing w:line="360" w:lineRule="auto"/>
              <w:ind w:firstLine="480"/>
              <w:rPr>
                <w:rFonts w:ascii="Times New Roman" w:hAnsi="Times New Roman" w:eastAsia="宋体" w:cs="Times New Roman"/>
                <w:bCs/>
                <w:kern w:val="0"/>
                <w:szCs w:val="21"/>
              </w:rPr>
            </w:pPr>
            <w:r>
              <w:rPr>
                <w:rFonts w:hint="eastAsia" w:ascii="Times New Roman" w:hAnsi="Times New Roman" w:eastAsia="宋体" w:cs="Times New Roman"/>
                <w:szCs w:val="21"/>
              </w:rPr>
              <w:t>项目购入电力500</w:t>
            </w:r>
            <w:r>
              <w:rPr>
                <w:rFonts w:hint="eastAsia" w:ascii="Times New Roman" w:hAnsi="Times New Roman" w:eastAsia="宋体" w:cs="Times New Roman"/>
                <w:bCs/>
                <w:kern w:val="0"/>
                <w:szCs w:val="21"/>
              </w:rPr>
              <w:t>MWh，二氧化碳排放量计算见下表。</w:t>
            </w:r>
          </w:p>
          <w:p>
            <w:pPr>
              <w:adjustRightInd w:val="0"/>
              <w:snapToGrid w:val="0"/>
              <w:spacing w:before="120" w:beforeLines="50"/>
              <w:jc w:val="center"/>
              <w:rPr>
                <w:rFonts w:ascii="Times New Roman" w:hAnsi="Times New Roman" w:eastAsia="宋体" w:cs="Times New Roman"/>
                <w:b/>
                <w:kern w:val="0"/>
                <w:szCs w:val="21"/>
              </w:rPr>
            </w:pPr>
            <w:r>
              <w:rPr>
                <w:rFonts w:ascii="Times New Roman" w:hAnsi="Times New Roman" w:eastAsia="宋体" w:cs="Times New Roman"/>
                <w:b/>
                <w:kern w:val="0"/>
                <w:szCs w:val="21"/>
              </w:rPr>
              <w:t>表</w:t>
            </w:r>
            <w:r>
              <w:rPr>
                <w:rFonts w:hint="eastAsia" w:ascii="Times New Roman" w:hAnsi="Times New Roman" w:eastAsia="宋体" w:cs="Times New Roman"/>
                <w:b/>
                <w:kern w:val="0"/>
                <w:szCs w:val="21"/>
              </w:rPr>
              <w:t>35 项目购入电力二氧化碳排放量计算表</w:t>
            </w: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2832"/>
              <w:gridCol w:w="2830"/>
              <w:gridCol w:w="28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78" w:hRule="atLeast"/>
              </w:trPr>
              <w:tc>
                <w:tcPr>
                  <w:tcW w:w="1668"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bCs/>
                      <w:kern w:val="0"/>
                      <w:szCs w:val="21"/>
                    </w:rPr>
                    <w:t>AD</w:t>
                  </w:r>
                  <w:r>
                    <w:rPr>
                      <w:rFonts w:hint="eastAsia" w:ascii="Times New Roman" w:hAnsi="Times New Roman" w:eastAsia="宋体" w:cs="Times New Roman"/>
                      <w:bCs/>
                      <w:kern w:val="0"/>
                      <w:szCs w:val="21"/>
                      <w:vertAlign w:val="subscript"/>
                    </w:rPr>
                    <w:t>电</w:t>
                  </w:r>
                  <w:r>
                    <w:rPr>
                      <w:rFonts w:hint="eastAsia" w:ascii="Times New Roman" w:hAnsi="Times New Roman" w:eastAsia="宋体" w:cs="Times New Roman"/>
                      <w:bCs/>
                      <w:kern w:val="0"/>
                      <w:szCs w:val="21"/>
                    </w:rPr>
                    <w:t>（</w:t>
                  </w:r>
                  <w:r>
                    <w:rPr>
                      <w:rFonts w:ascii="Times New Roman" w:hAnsi="Times New Roman" w:eastAsia="宋体" w:cs="Times New Roman"/>
                      <w:bCs/>
                      <w:kern w:val="0"/>
                      <w:szCs w:val="21"/>
                    </w:rPr>
                    <w:t>MWh</w:t>
                  </w:r>
                  <w:r>
                    <w:rPr>
                      <w:rFonts w:hint="eastAsia" w:ascii="Times New Roman" w:hAnsi="Times New Roman" w:eastAsia="宋体" w:cs="Times New Roman"/>
                      <w:bCs/>
                      <w:kern w:val="0"/>
                      <w:szCs w:val="21"/>
                    </w:rPr>
                    <w:t>）</w:t>
                  </w:r>
                </w:p>
              </w:tc>
              <w:tc>
                <w:tcPr>
                  <w:tcW w:w="1667"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bCs/>
                      <w:kern w:val="0"/>
                      <w:szCs w:val="21"/>
                    </w:rPr>
                    <w:t>EF</w:t>
                  </w:r>
                  <w:r>
                    <w:rPr>
                      <w:rFonts w:hint="eastAsia" w:ascii="Times New Roman" w:hAnsi="Times New Roman" w:eastAsia="宋体" w:cs="Times New Roman"/>
                      <w:bCs/>
                      <w:kern w:val="0"/>
                      <w:szCs w:val="21"/>
                      <w:vertAlign w:val="subscript"/>
                    </w:rPr>
                    <w:t>电</w:t>
                  </w:r>
                  <w:r>
                    <w:rPr>
                      <w:rFonts w:hint="eastAsia" w:ascii="Times New Roman" w:hAnsi="Times New Roman" w:eastAsia="宋体" w:cs="Times New Roman"/>
                      <w:bCs/>
                      <w:kern w:val="0"/>
                      <w:szCs w:val="21"/>
                    </w:rPr>
                    <w:t>（</w:t>
                  </w:r>
                  <w:r>
                    <w:rPr>
                      <w:rFonts w:ascii="Times New Roman" w:hAnsi="Times New Roman" w:eastAsia="宋体" w:cs="Times New Roman"/>
                      <w:bCs/>
                      <w:kern w:val="0"/>
                      <w:szCs w:val="21"/>
                    </w:rPr>
                    <w:t>tCO</w:t>
                  </w:r>
                  <w:r>
                    <w:rPr>
                      <w:rFonts w:ascii="Times New Roman" w:hAnsi="Times New Roman" w:eastAsia="宋体" w:cs="Times New Roman"/>
                      <w:bCs/>
                      <w:kern w:val="0"/>
                      <w:szCs w:val="21"/>
                      <w:vertAlign w:val="subscript"/>
                    </w:rPr>
                    <w:t>2/</w:t>
                  </w:r>
                  <w:r>
                    <w:rPr>
                      <w:rFonts w:ascii="Times New Roman" w:hAnsi="Times New Roman" w:eastAsia="宋体" w:cs="Times New Roman"/>
                      <w:bCs/>
                      <w:kern w:val="0"/>
                      <w:szCs w:val="21"/>
                    </w:rPr>
                    <w:t>MWh</w:t>
                  </w:r>
                  <w:r>
                    <w:rPr>
                      <w:rFonts w:hint="eastAsia" w:ascii="Times New Roman" w:hAnsi="Times New Roman" w:eastAsia="宋体" w:cs="Times New Roman"/>
                      <w:bCs/>
                      <w:kern w:val="0"/>
                      <w:szCs w:val="21"/>
                    </w:rPr>
                    <w:t>）</w:t>
                  </w:r>
                </w:p>
              </w:tc>
              <w:tc>
                <w:tcPr>
                  <w:tcW w:w="1665"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bCs/>
                      <w:kern w:val="0"/>
                      <w:szCs w:val="21"/>
                    </w:rPr>
                    <w:t>E</w:t>
                  </w:r>
                  <w:r>
                    <w:rPr>
                      <w:rFonts w:hint="eastAsia" w:ascii="Times New Roman" w:hAnsi="Times New Roman" w:eastAsia="宋体" w:cs="Times New Roman"/>
                      <w:bCs/>
                      <w:kern w:val="0"/>
                      <w:szCs w:val="21"/>
                      <w:vertAlign w:val="subscript"/>
                    </w:rPr>
                    <w:t>电</w:t>
                  </w:r>
                  <w:r>
                    <w:rPr>
                      <w:rFonts w:hint="eastAsia" w:ascii="Times New Roman" w:hAnsi="Times New Roman" w:eastAsia="宋体" w:cs="Times New Roman"/>
                      <w:bCs/>
                      <w:kern w:val="0"/>
                      <w:szCs w:val="21"/>
                    </w:rPr>
                    <w:t>（</w:t>
                  </w:r>
                  <w:r>
                    <w:rPr>
                      <w:rFonts w:ascii="Times New Roman" w:hAnsi="Times New Roman" w:eastAsia="宋体" w:cs="Times New Roman"/>
                      <w:bCs/>
                      <w:kern w:val="0"/>
                      <w:szCs w:val="21"/>
                    </w:rPr>
                    <w:t>t</w:t>
                  </w:r>
                  <w:r>
                    <w:rPr>
                      <w:rFonts w:hint="eastAsia" w:ascii="Times New Roman" w:hAnsi="Times New Roman" w:eastAsia="宋体" w:cs="Times New Roman"/>
                      <w:bCs/>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78" w:hRule="atLeast"/>
              </w:trPr>
              <w:tc>
                <w:tcPr>
                  <w:tcW w:w="1668"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500</w:t>
                  </w:r>
                </w:p>
              </w:tc>
              <w:tc>
                <w:tcPr>
                  <w:tcW w:w="1667"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0.9419</w:t>
                  </w:r>
                </w:p>
              </w:tc>
              <w:tc>
                <w:tcPr>
                  <w:tcW w:w="1665"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470.95</w:t>
                  </w:r>
                </w:p>
              </w:tc>
            </w:tr>
          </w:tbl>
          <w:p>
            <w:pPr>
              <w:spacing w:line="360" w:lineRule="auto"/>
              <w:ind w:firstLine="480"/>
              <w:rPr>
                <w:rFonts w:ascii="Times New Roman" w:hAnsi="Times New Roman" w:eastAsia="宋体" w:cs="Times New Roman"/>
                <w:bCs/>
                <w:kern w:val="0"/>
                <w:szCs w:val="21"/>
              </w:rPr>
            </w:pPr>
            <w:r>
              <w:rPr>
                <w:rFonts w:hint="eastAsia" w:ascii="Times New Roman" w:hAnsi="Times New Roman" w:eastAsia="宋体" w:cs="Times New Roman"/>
                <w:bCs/>
                <w:kern w:val="0"/>
                <w:szCs w:val="21"/>
              </w:rPr>
              <w:t>（2）化石燃料燃烧</w:t>
            </w:r>
          </w:p>
          <w:p>
            <w:pPr>
              <w:spacing w:line="360" w:lineRule="auto"/>
              <w:ind w:firstLine="480"/>
              <w:rPr>
                <w:rFonts w:ascii="Times New Roman" w:hAnsi="Times New Roman" w:eastAsia="宋体" w:cs="Times New Roman"/>
                <w:bCs/>
                <w:kern w:val="0"/>
                <w:szCs w:val="21"/>
              </w:rPr>
            </w:pPr>
            <w:r>
              <w:rPr>
                <w:rFonts w:ascii="Times New Roman" w:hAnsi="Times New Roman" w:eastAsia="宋体" w:cs="Times New Roman"/>
                <w:szCs w:val="21"/>
              </w:rPr>
              <w:drawing>
                <wp:anchor distT="0" distB="0" distL="114300" distR="114300" simplePos="0" relativeHeight="251661312" behindDoc="0" locked="0" layoutInCell="1" allowOverlap="1">
                  <wp:simplePos x="0" y="0"/>
                  <wp:positionH relativeFrom="column">
                    <wp:posOffset>471805</wp:posOffset>
                  </wp:positionH>
                  <wp:positionV relativeFrom="paragraph">
                    <wp:posOffset>417195</wp:posOffset>
                  </wp:positionV>
                  <wp:extent cx="1565910" cy="305435"/>
                  <wp:effectExtent l="0" t="0" r="0" b="0"/>
                  <wp:wrapNone/>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22"/>
                          <a:stretch>
                            <a:fillRect/>
                          </a:stretch>
                        </pic:blipFill>
                        <pic:spPr>
                          <a:xfrm>
                            <a:off x="0" y="0"/>
                            <a:ext cx="1565910" cy="305435"/>
                          </a:xfrm>
                          <a:prstGeom prst="rect">
                            <a:avLst/>
                          </a:prstGeom>
                        </pic:spPr>
                      </pic:pic>
                    </a:graphicData>
                  </a:graphic>
                </wp:anchor>
              </w:drawing>
            </w:r>
            <w:r>
              <w:rPr>
                <w:rFonts w:hint="eastAsia" w:ascii="Times New Roman" w:hAnsi="Times New Roman" w:eastAsia="宋体" w:cs="Times New Roman"/>
                <w:bCs/>
                <w:kern w:val="0"/>
                <w:szCs w:val="21"/>
              </w:rPr>
              <w:t>化石燃料燃烧排放量是统计期内生产及辅助设施各种化石燃料燃烧产生的二氧化碳排放量的加总，按下式计算。</w:t>
            </w:r>
          </w:p>
          <w:p>
            <w:pPr>
              <w:spacing w:line="360" w:lineRule="auto"/>
              <w:ind w:firstLine="480"/>
              <w:rPr>
                <w:rFonts w:ascii="Times New Roman" w:hAnsi="Times New Roman" w:eastAsia="宋体" w:cs="Times New Roman"/>
                <w:bCs/>
                <w:kern w:val="0"/>
                <w:szCs w:val="21"/>
              </w:rPr>
            </w:pPr>
            <w:r>
              <w:rPr>
                <w:rFonts w:hint="eastAsia" w:ascii="Times New Roman" w:hAnsi="Times New Roman" w:eastAsia="宋体" w:cs="Times New Roman"/>
                <w:bCs/>
                <w:kern w:val="0"/>
                <w:szCs w:val="21"/>
              </w:rPr>
              <w:t>1）</w:t>
            </w:r>
            <w:bookmarkStart w:id="7" w:name="_GoBack"/>
            <w:bookmarkEnd w:id="7"/>
          </w:p>
          <w:p>
            <w:pPr>
              <w:spacing w:line="360" w:lineRule="auto"/>
              <w:ind w:firstLine="480"/>
              <w:rPr>
                <w:rFonts w:ascii="Times New Roman" w:hAnsi="Times New Roman" w:eastAsia="宋体" w:cs="Times New Roman"/>
                <w:bCs/>
                <w:kern w:val="0"/>
                <w:szCs w:val="21"/>
              </w:rPr>
            </w:pPr>
            <w:r>
              <w:rPr>
                <w:rFonts w:hint="eastAsia" w:ascii="Times New Roman" w:hAnsi="Times New Roman" w:eastAsia="宋体" w:cs="Times New Roman"/>
                <w:bCs/>
                <w:kern w:val="0"/>
                <w:szCs w:val="21"/>
              </w:rPr>
              <w:t>式中：E</w:t>
            </w:r>
            <w:r>
              <w:rPr>
                <w:rFonts w:hint="eastAsia" w:ascii="Times New Roman" w:hAnsi="Times New Roman" w:eastAsia="宋体" w:cs="Times New Roman"/>
                <w:bCs/>
                <w:kern w:val="0"/>
                <w:szCs w:val="21"/>
                <w:vertAlign w:val="subscript"/>
              </w:rPr>
              <w:t>燃烧</w:t>
            </w:r>
            <w:r>
              <w:rPr>
                <w:rFonts w:hint="eastAsia" w:ascii="Times New Roman" w:hAnsi="Times New Roman" w:eastAsia="宋体" w:cs="Times New Roman"/>
                <w:bCs/>
                <w:kern w:val="0"/>
                <w:szCs w:val="21"/>
              </w:rPr>
              <w:t>—化石燃料燃烧的排放量，单位为吨二氧化碳（tCO</w:t>
            </w:r>
            <w:r>
              <w:rPr>
                <w:rFonts w:hint="eastAsia" w:ascii="Times New Roman" w:hAnsi="Times New Roman" w:eastAsia="宋体" w:cs="Times New Roman"/>
                <w:bCs/>
                <w:kern w:val="0"/>
                <w:szCs w:val="21"/>
                <w:vertAlign w:val="subscript"/>
              </w:rPr>
              <w:t>2</w:t>
            </w:r>
            <w:r>
              <w:rPr>
                <w:rFonts w:hint="eastAsia" w:ascii="Times New Roman" w:hAnsi="Times New Roman" w:eastAsia="宋体" w:cs="Times New Roman"/>
                <w:bCs/>
                <w:kern w:val="0"/>
                <w:szCs w:val="21"/>
              </w:rPr>
              <w:t>）；</w:t>
            </w:r>
          </w:p>
          <w:p>
            <w:pPr>
              <w:spacing w:line="360" w:lineRule="auto"/>
              <w:ind w:firstLine="480"/>
              <w:rPr>
                <w:rFonts w:ascii="Times New Roman" w:hAnsi="Times New Roman" w:eastAsia="宋体" w:cs="Times New Roman"/>
                <w:bCs/>
                <w:kern w:val="0"/>
                <w:szCs w:val="21"/>
              </w:rPr>
            </w:pPr>
            <w:r>
              <w:rPr>
                <w:rFonts w:hint="eastAsia" w:ascii="Times New Roman" w:hAnsi="Times New Roman" w:eastAsia="宋体" w:cs="Times New Roman"/>
                <w:bCs/>
                <w:kern w:val="0"/>
                <w:szCs w:val="21"/>
              </w:rPr>
              <w:t xml:space="preserve">      AD</w:t>
            </w:r>
            <w:r>
              <w:rPr>
                <w:rFonts w:hint="eastAsia" w:ascii="Times New Roman" w:hAnsi="Times New Roman" w:eastAsia="宋体" w:cs="Times New Roman"/>
                <w:bCs/>
                <w:kern w:val="0"/>
                <w:szCs w:val="21"/>
                <w:vertAlign w:val="subscript"/>
              </w:rPr>
              <w:t>i</w:t>
            </w:r>
            <w:r>
              <w:rPr>
                <w:rFonts w:hint="eastAsia" w:ascii="Times New Roman" w:hAnsi="Times New Roman" w:eastAsia="宋体" w:cs="Times New Roman"/>
                <w:bCs/>
                <w:kern w:val="0"/>
                <w:szCs w:val="21"/>
              </w:rPr>
              <w:t>—第i种化石燃料的活动数据，单位为吉焦（GJ）；</w:t>
            </w:r>
          </w:p>
          <w:p>
            <w:pPr>
              <w:spacing w:line="360" w:lineRule="auto"/>
              <w:ind w:firstLine="480"/>
              <w:rPr>
                <w:rFonts w:ascii="Times New Roman" w:hAnsi="Times New Roman" w:eastAsia="宋体" w:cs="Times New Roman"/>
                <w:bCs/>
                <w:kern w:val="0"/>
                <w:szCs w:val="21"/>
              </w:rPr>
            </w:pPr>
            <w:r>
              <w:rPr>
                <w:rFonts w:hint="eastAsia" w:ascii="Times New Roman" w:hAnsi="Times New Roman" w:eastAsia="宋体" w:cs="Times New Roman"/>
                <w:bCs/>
                <w:kern w:val="0"/>
                <w:szCs w:val="21"/>
              </w:rPr>
              <w:t xml:space="preserve">      EF</w:t>
            </w:r>
            <w:r>
              <w:rPr>
                <w:rFonts w:hint="eastAsia" w:ascii="Times New Roman" w:hAnsi="Times New Roman" w:eastAsia="宋体" w:cs="Times New Roman"/>
                <w:bCs/>
                <w:kern w:val="0"/>
                <w:szCs w:val="21"/>
                <w:vertAlign w:val="subscript"/>
              </w:rPr>
              <w:t>i</w:t>
            </w:r>
            <w:r>
              <w:rPr>
                <w:rFonts w:hint="eastAsia" w:ascii="Times New Roman" w:hAnsi="Times New Roman" w:eastAsia="宋体" w:cs="Times New Roman"/>
                <w:bCs/>
                <w:kern w:val="0"/>
                <w:szCs w:val="21"/>
              </w:rPr>
              <w:t>—第i种化石燃料的二氧化碳排放因子，单位为吨二氧化碳/吉焦（tCO</w:t>
            </w:r>
            <w:r>
              <w:rPr>
                <w:rFonts w:hint="eastAsia" w:ascii="Times New Roman" w:hAnsi="Times New Roman" w:eastAsia="宋体" w:cs="Times New Roman"/>
                <w:bCs/>
                <w:kern w:val="0"/>
                <w:szCs w:val="21"/>
                <w:vertAlign w:val="subscript"/>
              </w:rPr>
              <w:t>2</w:t>
            </w:r>
            <w:r>
              <w:rPr>
                <w:rFonts w:hint="eastAsia" w:ascii="Times New Roman" w:hAnsi="Times New Roman" w:eastAsia="宋体" w:cs="Times New Roman"/>
                <w:bCs/>
                <w:kern w:val="0"/>
                <w:szCs w:val="21"/>
              </w:rPr>
              <w:t>/GJ）；</w:t>
            </w:r>
          </w:p>
          <w:p>
            <w:pPr>
              <w:spacing w:line="360" w:lineRule="auto"/>
              <w:ind w:firstLine="480"/>
              <w:rPr>
                <w:rFonts w:ascii="Times New Roman" w:hAnsi="Times New Roman" w:eastAsia="宋体" w:cs="Times New Roman"/>
                <w:bCs/>
                <w:kern w:val="0"/>
                <w:szCs w:val="21"/>
              </w:rPr>
            </w:pPr>
            <w:r>
              <w:rPr>
                <w:rFonts w:hint="eastAsia" w:ascii="Times New Roman" w:hAnsi="Times New Roman" w:eastAsia="宋体" w:cs="Times New Roman"/>
                <w:bCs/>
                <w:kern w:val="0"/>
                <w:szCs w:val="21"/>
              </w:rPr>
              <w:t xml:space="preserve">      i—化石燃料类型代号。</w:t>
            </w:r>
          </w:p>
          <w:p>
            <w:pPr>
              <w:spacing w:line="360" w:lineRule="auto"/>
              <w:ind w:firstLine="480"/>
              <w:rPr>
                <w:rFonts w:ascii="Times New Roman" w:hAnsi="Times New Roman" w:eastAsia="宋体" w:cs="Times New Roman"/>
                <w:bCs/>
                <w:kern w:val="0"/>
                <w:szCs w:val="21"/>
                <w:vertAlign w:val="subscript"/>
              </w:rPr>
            </w:pPr>
            <w:r>
              <w:rPr>
                <w:rFonts w:hint="eastAsia" w:ascii="Times New Roman" w:hAnsi="Times New Roman" w:eastAsia="宋体" w:cs="Times New Roman"/>
                <w:bCs/>
                <w:kern w:val="0"/>
                <w:szCs w:val="21"/>
              </w:rPr>
              <w:t>2）AD</w:t>
            </w:r>
            <w:r>
              <w:rPr>
                <w:rFonts w:hint="eastAsia" w:ascii="Times New Roman" w:hAnsi="Times New Roman" w:eastAsia="宋体" w:cs="Times New Roman"/>
                <w:bCs/>
                <w:kern w:val="0"/>
                <w:szCs w:val="21"/>
                <w:vertAlign w:val="subscript"/>
              </w:rPr>
              <w:t>i</w:t>
            </w:r>
            <w:r>
              <w:rPr>
                <w:rFonts w:hint="eastAsia" w:ascii="Times New Roman" w:hAnsi="Times New Roman" w:eastAsia="宋体" w:cs="Times New Roman"/>
                <w:bCs/>
                <w:kern w:val="0"/>
                <w:szCs w:val="21"/>
              </w:rPr>
              <w:t>=FC</w:t>
            </w:r>
            <w:r>
              <w:rPr>
                <w:rFonts w:hint="eastAsia" w:ascii="Times New Roman" w:hAnsi="Times New Roman" w:eastAsia="宋体" w:cs="Times New Roman"/>
                <w:bCs/>
                <w:kern w:val="0"/>
                <w:szCs w:val="21"/>
                <w:vertAlign w:val="subscript"/>
              </w:rPr>
              <w:t>i</w:t>
            </w:r>
            <w:r>
              <w:rPr>
                <w:rFonts w:hint="eastAsia" w:ascii="宋体" w:hAnsi="宋体" w:eastAsia="宋体" w:cs="Times New Roman"/>
                <w:bCs/>
                <w:kern w:val="0"/>
                <w:szCs w:val="21"/>
              </w:rPr>
              <w:t>×</w:t>
            </w:r>
            <w:r>
              <w:rPr>
                <w:rFonts w:hint="eastAsia" w:ascii="Times New Roman" w:hAnsi="Times New Roman" w:eastAsia="宋体" w:cs="Times New Roman"/>
                <w:bCs/>
                <w:kern w:val="0"/>
                <w:szCs w:val="21"/>
              </w:rPr>
              <w:t>NCV</w:t>
            </w:r>
            <w:r>
              <w:rPr>
                <w:rFonts w:hint="eastAsia" w:ascii="Times New Roman" w:hAnsi="Times New Roman" w:eastAsia="宋体" w:cs="Times New Roman"/>
                <w:bCs/>
                <w:kern w:val="0"/>
                <w:szCs w:val="21"/>
                <w:vertAlign w:val="subscript"/>
              </w:rPr>
              <w:t>i</w:t>
            </w:r>
          </w:p>
          <w:p>
            <w:pPr>
              <w:spacing w:line="360" w:lineRule="auto"/>
              <w:ind w:firstLine="480"/>
              <w:rPr>
                <w:rFonts w:ascii="Times New Roman" w:hAnsi="Times New Roman" w:eastAsia="宋体" w:cs="Times New Roman"/>
                <w:bCs/>
                <w:kern w:val="0"/>
                <w:szCs w:val="21"/>
              </w:rPr>
            </w:pPr>
            <w:r>
              <w:rPr>
                <w:rFonts w:hint="eastAsia" w:ascii="Times New Roman" w:hAnsi="Times New Roman" w:eastAsia="宋体" w:cs="Times New Roman"/>
                <w:bCs/>
                <w:kern w:val="0"/>
                <w:szCs w:val="21"/>
              </w:rPr>
              <w:t>式中：FC</w:t>
            </w:r>
            <w:r>
              <w:rPr>
                <w:rFonts w:hint="eastAsia" w:ascii="Times New Roman" w:hAnsi="Times New Roman" w:eastAsia="宋体" w:cs="Times New Roman"/>
                <w:bCs/>
                <w:kern w:val="0"/>
                <w:szCs w:val="21"/>
                <w:vertAlign w:val="subscript"/>
              </w:rPr>
              <w:t>i</w:t>
            </w:r>
            <w:r>
              <w:rPr>
                <w:rFonts w:hint="eastAsia" w:ascii="Times New Roman" w:hAnsi="Times New Roman" w:eastAsia="宋体" w:cs="Times New Roman"/>
                <w:bCs/>
                <w:kern w:val="0"/>
                <w:szCs w:val="21"/>
              </w:rPr>
              <w:t>—第i种化石燃料的消耗量，对固体或液体燃料，单位为吨（t）；对气体燃料，单位为万标准立方米（10</w:t>
            </w:r>
            <w:r>
              <w:rPr>
                <w:rFonts w:hint="eastAsia" w:ascii="Times New Roman" w:hAnsi="Times New Roman" w:eastAsia="宋体" w:cs="Times New Roman"/>
                <w:bCs/>
                <w:kern w:val="0"/>
                <w:szCs w:val="21"/>
                <w:vertAlign w:val="superscript"/>
              </w:rPr>
              <w:t>4</w:t>
            </w:r>
            <w:r>
              <w:rPr>
                <w:rFonts w:hint="eastAsia" w:ascii="Times New Roman" w:hAnsi="Times New Roman" w:eastAsia="宋体" w:cs="Times New Roman"/>
                <w:bCs/>
                <w:kern w:val="0"/>
                <w:szCs w:val="21"/>
              </w:rPr>
              <w:t>Nm</w:t>
            </w:r>
            <w:r>
              <w:rPr>
                <w:rFonts w:hint="eastAsia" w:ascii="Times New Roman" w:hAnsi="Times New Roman" w:eastAsia="宋体" w:cs="Times New Roman"/>
                <w:bCs/>
                <w:kern w:val="0"/>
                <w:szCs w:val="21"/>
                <w:vertAlign w:val="superscript"/>
              </w:rPr>
              <w:t>3</w:t>
            </w:r>
            <w:r>
              <w:rPr>
                <w:rFonts w:hint="eastAsia" w:ascii="Times New Roman" w:hAnsi="Times New Roman" w:eastAsia="宋体" w:cs="Times New Roman"/>
                <w:bCs/>
                <w:kern w:val="0"/>
                <w:szCs w:val="21"/>
              </w:rPr>
              <w:t>）；</w:t>
            </w:r>
          </w:p>
          <w:p>
            <w:pPr>
              <w:spacing w:line="360" w:lineRule="auto"/>
              <w:ind w:firstLine="420" w:firstLineChars="200"/>
              <w:rPr>
                <w:rFonts w:ascii="Times New Roman" w:hAnsi="Times New Roman" w:eastAsia="宋体" w:cs="Times New Roman"/>
                <w:bCs/>
                <w:kern w:val="0"/>
                <w:szCs w:val="21"/>
              </w:rPr>
            </w:pPr>
            <w:r>
              <w:rPr>
                <w:rFonts w:hint="eastAsia" w:ascii="Times New Roman" w:hAnsi="Times New Roman" w:eastAsia="宋体" w:cs="Times New Roman"/>
                <w:bCs/>
                <w:kern w:val="0"/>
                <w:szCs w:val="21"/>
              </w:rPr>
              <w:t xml:space="preserve">      NCV</w:t>
            </w:r>
            <w:r>
              <w:rPr>
                <w:rFonts w:hint="eastAsia" w:ascii="Times New Roman" w:hAnsi="Times New Roman" w:eastAsia="宋体" w:cs="Times New Roman"/>
                <w:bCs/>
                <w:kern w:val="0"/>
                <w:szCs w:val="21"/>
                <w:vertAlign w:val="subscript"/>
              </w:rPr>
              <w:t>i</w:t>
            </w:r>
            <w:r>
              <w:rPr>
                <w:rFonts w:hint="eastAsia" w:ascii="Times New Roman" w:hAnsi="Times New Roman" w:eastAsia="宋体" w:cs="Times New Roman"/>
                <w:bCs/>
                <w:kern w:val="0"/>
                <w:szCs w:val="21"/>
              </w:rPr>
              <w:t>—第i种化石燃料的低位发热量，对固体或液体燃料，单位为吉焦/吨（GJ/t）；对气体燃料，单位为吉焦/万标准立方米（GJ/10</w:t>
            </w:r>
            <w:r>
              <w:rPr>
                <w:rFonts w:hint="eastAsia" w:ascii="Times New Roman" w:hAnsi="Times New Roman" w:eastAsia="宋体" w:cs="Times New Roman"/>
                <w:bCs/>
                <w:kern w:val="0"/>
                <w:szCs w:val="21"/>
                <w:vertAlign w:val="superscript"/>
              </w:rPr>
              <w:t>4</w:t>
            </w:r>
            <w:r>
              <w:rPr>
                <w:rFonts w:hint="eastAsia" w:ascii="Times New Roman" w:hAnsi="Times New Roman" w:eastAsia="宋体" w:cs="Times New Roman"/>
                <w:bCs/>
                <w:kern w:val="0"/>
                <w:szCs w:val="21"/>
              </w:rPr>
              <w:t>Nm</w:t>
            </w:r>
            <w:r>
              <w:rPr>
                <w:rFonts w:hint="eastAsia" w:ascii="Times New Roman" w:hAnsi="Times New Roman" w:eastAsia="宋体" w:cs="Times New Roman"/>
                <w:bCs/>
                <w:kern w:val="0"/>
                <w:szCs w:val="21"/>
                <w:vertAlign w:val="superscript"/>
              </w:rPr>
              <w:t>3</w:t>
            </w:r>
            <w:r>
              <w:rPr>
                <w:rFonts w:hint="eastAsia" w:ascii="Times New Roman" w:hAnsi="Times New Roman" w:eastAsia="宋体" w:cs="Times New Roman"/>
                <w:bCs/>
                <w:kern w:val="0"/>
                <w:szCs w:val="21"/>
              </w:rPr>
              <w:t>）</w:t>
            </w:r>
          </w:p>
          <w:p>
            <w:pPr>
              <w:spacing w:line="360" w:lineRule="auto"/>
              <w:ind w:firstLine="420" w:firstLineChars="200"/>
              <w:rPr>
                <w:rFonts w:ascii="Times New Roman" w:hAnsi="Times New Roman" w:eastAsia="宋体" w:cs="Times New Roman"/>
                <w:bCs/>
                <w:kern w:val="0"/>
                <w:szCs w:val="21"/>
              </w:rPr>
            </w:pPr>
            <w:r>
              <w:rPr>
                <w:rFonts w:hint="eastAsia" w:ascii="Times New Roman" w:hAnsi="Times New Roman" w:eastAsia="宋体" w:cs="Times New Roman"/>
                <w:bCs/>
                <w:kern w:val="0"/>
                <w:szCs w:val="21"/>
              </w:rPr>
              <w:t>3）EF</w:t>
            </w:r>
            <w:r>
              <w:rPr>
                <w:rFonts w:hint="eastAsia" w:ascii="Times New Roman" w:hAnsi="Times New Roman" w:eastAsia="宋体" w:cs="Times New Roman"/>
                <w:bCs/>
                <w:kern w:val="0"/>
                <w:szCs w:val="21"/>
                <w:vertAlign w:val="subscript"/>
              </w:rPr>
              <w:t>i</w:t>
            </w:r>
            <w:r>
              <w:rPr>
                <w:rFonts w:hint="eastAsia" w:ascii="Times New Roman" w:hAnsi="Times New Roman" w:eastAsia="宋体" w:cs="Times New Roman"/>
                <w:bCs/>
                <w:kern w:val="0"/>
                <w:szCs w:val="21"/>
              </w:rPr>
              <w:t>=CC</w:t>
            </w:r>
            <w:r>
              <w:rPr>
                <w:rFonts w:hint="eastAsia" w:ascii="Times New Roman" w:hAnsi="Times New Roman" w:eastAsia="宋体" w:cs="Times New Roman"/>
                <w:bCs/>
                <w:kern w:val="0"/>
                <w:szCs w:val="21"/>
                <w:vertAlign w:val="subscript"/>
              </w:rPr>
              <w:t>i</w:t>
            </w:r>
            <w:r>
              <w:rPr>
                <w:rFonts w:hint="eastAsia" w:ascii="宋体" w:hAnsi="宋体" w:eastAsia="宋体" w:cs="Times New Roman"/>
                <w:bCs/>
                <w:kern w:val="0"/>
                <w:szCs w:val="21"/>
              </w:rPr>
              <w:t>×</w:t>
            </w:r>
            <w:r>
              <w:rPr>
                <w:rFonts w:hint="eastAsia" w:ascii="Times New Roman" w:hAnsi="Times New Roman" w:eastAsia="宋体" w:cs="Times New Roman"/>
                <w:bCs/>
                <w:kern w:val="0"/>
                <w:szCs w:val="21"/>
              </w:rPr>
              <w:t>OF</w:t>
            </w:r>
            <w:r>
              <w:rPr>
                <w:rFonts w:hint="eastAsia" w:ascii="Times New Roman" w:hAnsi="Times New Roman" w:eastAsia="宋体" w:cs="Times New Roman"/>
                <w:bCs/>
                <w:kern w:val="0"/>
                <w:szCs w:val="21"/>
                <w:vertAlign w:val="subscript"/>
              </w:rPr>
              <w:t>i</w:t>
            </w:r>
            <w:r>
              <w:rPr>
                <w:rFonts w:hint="eastAsia" w:ascii="宋体" w:hAnsi="宋体" w:eastAsia="宋体" w:cs="Times New Roman"/>
                <w:bCs/>
                <w:kern w:val="0"/>
                <w:szCs w:val="21"/>
              </w:rPr>
              <w:t>×</w:t>
            </w:r>
            <w:r>
              <w:rPr>
                <w:rFonts w:hint="eastAsia" w:ascii="Times New Roman" w:hAnsi="Times New Roman" w:eastAsia="宋体" w:cs="Times New Roman"/>
                <w:bCs/>
                <w:kern w:val="0"/>
                <w:szCs w:val="21"/>
              </w:rPr>
              <w:t>44/12</w:t>
            </w:r>
          </w:p>
          <w:p>
            <w:pPr>
              <w:spacing w:line="360" w:lineRule="auto"/>
              <w:ind w:firstLine="420" w:firstLineChars="200"/>
              <w:rPr>
                <w:rFonts w:ascii="Times New Roman" w:hAnsi="Times New Roman" w:eastAsia="宋体" w:cs="Times New Roman"/>
                <w:bCs/>
                <w:kern w:val="0"/>
                <w:szCs w:val="21"/>
              </w:rPr>
            </w:pPr>
            <w:r>
              <w:rPr>
                <w:rFonts w:hint="eastAsia" w:ascii="Times New Roman" w:hAnsi="Times New Roman" w:eastAsia="宋体" w:cs="Times New Roman"/>
                <w:bCs/>
                <w:kern w:val="0"/>
                <w:szCs w:val="21"/>
              </w:rPr>
              <w:t>式中：CC</w:t>
            </w:r>
            <w:r>
              <w:rPr>
                <w:rFonts w:hint="eastAsia" w:ascii="Times New Roman" w:hAnsi="Times New Roman" w:eastAsia="宋体" w:cs="Times New Roman"/>
                <w:bCs/>
                <w:kern w:val="0"/>
                <w:szCs w:val="21"/>
                <w:vertAlign w:val="subscript"/>
              </w:rPr>
              <w:t>i</w:t>
            </w:r>
            <w:r>
              <w:rPr>
                <w:rFonts w:hint="eastAsia" w:ascii="Times New Roman" w:hAnsi="Times New Roman" w:eastAsia="宋体" w:cs="Times New Roman"/>
                <w:bCs/>
                <w:kern w:val="0"/>
                <w:szCs w:val="21"/>
              </w:rPr>
              <w:t>—第i种化石燃料的单位热值含碳量，单位为吨碳/吉焦（tC/GJ）；</w:t>
            </w:r>
          </w:p>
          <w:p>
            <w:pPr>
              <w:spacing w:line="360" w:lineRule="auto"/>
              <w:ind w:firstLine="1050" w:firstLineChars="500"/>
              <w:rPr>
                <w:rFonts w:ascii="Times New Roman" w:hAnsi="Times New Roman" w:eastAsia="宋体" w:cs="Times New Roman"/>
                <w:bCs/>
                <w:kern w:val="0"/>
                <w:szCs w:val="21"/>
              </w:rPr>
            </w:pPr>
            <w:r>
              <w:rPr>
                <w:rFonts w:hint="eastAsia" w:ascii="Times New Roman" w:hAnsi="Times New Roman" w:eastAsia="宋体" w:cs="Times New Roman"/>
                <w:bCs/>
                <w:kern w:val="0"/>
                <w:szCs w:val="21"/>
              </w:rPr>
              <w:t>OF</w:t>
            </w:r>
            <w:r>
              <w:rPr>
                <w:rFonts w:hint="eastAsia" w:ascii="Times New Roman" w:hAnsi="Times New Roman" w:eastAsia="宋体" w:cs="Times New Roman"/>
                <w:bCs/>
                <w:kern w:val="0"/>
                <w:szCs w:val="21"/>
                <w:vertAlign w:val="subscript"/>
              </w:rPr>
              <w:t>i</w:t>
            </w:r>
            <w:r>
              <w:rPr>
                <w:rFonts w:hint="eastAsia" w:ascii="Times New Roman" w:hAnsi="Times New Roman" w:eastAsia="宋体" w:cs="Times New Roman"/>
                <w:bCs/>
                <w:kern w:val="0"/>
                <w:szCs w:val="21"/>
              </w:rPr>
              <w:t>—第i种化石燃料的碳氧化率，以%表示；</w:t>
            </w:r>
          </w:p>
          <w:p>
            <w:pPr>
              <w:spacing w:line="360" w:lineRule="auto"/>
              <w:ind w:firstLine="1050" w:firstLineChars="500"/>
              <w:rPr>
                <w:rFonts w:ascii="Times New Roman" w:hAnsi="Times New Roman" w:eastAsia="宋体" w:cs="Times New Roman"/>
                <w:bCs/>
                <w:kern w:val="0"/>
                <w:szCs w:val="21"/>
              </w:rPr>
            </w:pPr>
            <w:r>
              <w:rPr>
                <w:rFonts w:hint="eastAsia" w:ascii="Times New Roman" w:hAnsi="Times New Roman" w:eastAsia="宋体" w:cs="Times New Roman"/>
                <w:bCs/>
                <w:kern w:val="0"/>
                <w:szCs w:val="21"/>
              </w:rPr>
              <w:t>44/12—二氧化碳与碳的相对分子质量之比；</w:t>
            </w:r>
          </w:p>
          <w:p>
            <w:pPr>
              <w:spacing w:line="360" w:lineRule="auto"/>
              <w:ind w:firstLine="480"/>
              <w:rPr>
                <w:rFonts w:ascii="Times New Roman" w:hAnsi="Times New Roman" w:eastAsia="宋体" w:cs="Times New Roman"/>
                <w:bCs/>
                <w:kern w:val="0"/>
                <w:szCs w:val="21"/>
              </w:rPr>
            </w:pPr>
            <w:r>
              <w:rPr>
                <w:rFonts w:hint="eastAsia" w:ascii="Times New Roman" w:hAnsi="Times New Roman" w:eastAsia="宋体" w:cs="Times New Roman"/>
                <w:szCs w:val="21"/>
              </w:rPr>
              <w:t>项目燃料为柴油，年用量0.2t/a，燃烧</w:t>
            </w:r>
            <w:r>
              <w:rPr>
                <w:rFonts w:hint="eastAsia" w:ascii="Times New Roman" w:hAnsi="Times New Roman" w:eastAsia="宋体" w:cs="Times New Roman"/>
                <w:bCs/>
                <w:kern w:val="0"/>
                <w:szCs w:val="21"/>
              </w:rPr>
              <w:t>二氧化碳排放量计算见下表。</w:t>
            </w:r>
          </w:p>
          <w:p>
            <w:pPr>
              <w:adjustRightInd w:val="0"/>
              <w:snapToGrid w:val="0"/>
              <w:spacing w:before="120" w:beforeLines="50"/>
              <w:jc w:val="center"/>
              <w:rPr>
                <w:rFonts w:ascii="Times New Roman" w:hAnsi="Times New Roman" w:eastAsia="宋体" w:cs="Times New Roman"/>
                <w:b/>
                <w:kern w:val="0"/>
                <w:szCs w:val="21"/>
              </w:rPr>
            </w:pPr>
            <w:r>
              <w:rPr>
                <w:rFonts w:ascii="Times New Roman" w:hAnsi="Times New Roman" w:eastAsia="宋体" w:cs="Times New Roman"/>
                <w:b/>
                <w:kern w:val="0"/>
                <w:szCs w:val="21"/>
              </w:rPr>
              <w:t>表</w:t>
            </w:r>
            <w:r>
              <w:rPr>
                <w:rFonts w:hint="eastAsia" w:ascii="Times New Roman" w:hAnsi="Times New Roman" w:eastAsia="宋体" w:cs="Times New Roman"/>
                <w:b/>
                <w:kern w:val="0"/>
                <w:szCs w:val="21"/>
              </w:rPr>
              <w:t>36  项目燃料燃烧二氧化碳排放量计算表</w:t>
            </w: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1483"/>
              <w:gridCol w:w="1912"/>
              <w:gridCol w:w="1698"/>
              <w:gridCol w:w="1698"/>
              <w:gridCol w:w="16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1" w:hRule="atLeast"/>
              </w:trPr>
              <w:tc>
                <w:tcPr>
                  <w:tcW w:w="87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bCs/>
                      <w:kern w:val="0"/>
                      <w:szCs w:val="21"/>
                    </w:rPr>
                    <w:t>FC</w:t>
                  </w:r>
                  <w:r>
                    <w:rPr>
                      <w:rFonts w:hint="eastAsia" w:ascii="Times New Roman" w:hAnsi="Times New Roman" w:eastAsia="宋体" w:cs="Times New Roman"/>
                      <w:bCs/>
                      <w:kern w:val="0"/>
                      <w:szCs w:val="21"/>
                      <w:vertAlign w:val="subscript"/>
                    </w:rPr>
                    <w:t>i</w:t>
                  </w:r>
                  <w:r>
                    <w:rPr>
                      <w:rFonts w:hint="eastAsia" w:ascii="Times New Roman" w:hAnsi="Times New Roman" w:eastAsia="宋体" w:cs="Times New Roman"/>
                      <w:bCs/>
                      <w:kern w:val="0"/>
                      <w:szCs w:val="21"/>
                    </w:rPr>
                    <w:t>（t）</w:t>
                  </w:r>
                </w:p>
              </w:tc>
              <w:tc>
                <w:tcPr>
                  <w:tcW w:w="1126" w:type="pct"/>
                  <w:vAlign w:val="center"/>
                </w:tcPr>
                <w:p>
                  <w:pPr>
                    <w:jc w:val="center"/>
                    <w:rPr>
                      <w:rFonts w:ascii="Times New Roman" w:hAnsi="Times New Roman" w:eastAsia="宋体" w:cs="Times New Roman"/>
                      <w:szCs w:val="21"/>
                    </w:rPr>
                  </w:pPr>
                  <w:r>
                    <w:rPr>
                      <w:rFonts w:hint="eastAsia" w:ascii="Times New Roman" w:hAnsi="Times New Roman" w:eastAsia="宋体" w:cs="Times New Roman"/>
                      <w:bCs/>
                      <w:kern w:val="0"/>
                      <w:szCs w:val="21"/>
                    </w:rPr>
                    <w:t>NCV</w:t>
                  </w:r>
                  <w:r>
                    <w:rPr>
                      <w:rFonts w:hint="eastAsia" w:ascii="Times New Roman" w:hAnsi="Times New Roman" w:eastAsia="宋体" w:cs="Times New Roman"/>
                      <w:bCs/>
                      <w:kern w:val="0"/>
                      <w:szCs w:val="21"/>
                      <w:vertAlign w:val="subscript"/>
                    </w:rPr>
                    <w:t>i</w:t>
                  </w:r>
                  <w:r>
                    <w:rPr>
                      <w:rFonts w:hint="eastAsia" w:ascii="Times New Roman" w:hAnsi="Times New Roman" w:eastAsia="宋体" w:cs="Times New Roman"/>
                      <w:bCs/>
                      <w:kern w:val="0"/>
                      <w:szCs w:val="21"/>
                    </w:rPr>
                    <w:t>（GJ/t）</w:t>
                  </w:r>
                </w:p>
              </w:tc>
              <w:tc>
                <w:tcPr>
                  <w:tcW w:w="1000"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bCs/>
                      <w:kern w:val="0"/>
                      <w:szCs w:val="21"/>
                    </w:rPr>
                    <w:t>CC</w:t>
                  </w:r>
                  <w:r>
                    <w:rPr>
                      <w:rFonts w:hint="eastAsia" w:ascii="Times New Roman" w:hAnsi="Times New Roman" w:eastAsia="宋体" w:cs="Times New Roman"/>
                      <w:bCs/>
                      <w:kern w:val="0"/>
                      <w:szCs w:val="21"/>
                      <w:vertAlign w:val="subscript"/>
                    </w:rPr>
                    <w:t>i</w:t>
                  </w:r>
                  <w:r>
                    <w:rPr>
                      <w:rFonts w:hint="eastAsia" w:ascii="Times New Roman" w:hAnsi="Times New Roman" w:eastAsia="宋体" w:cs="Times New Roman"/>
                      <w:bCs/>
                      <w:kern w:val="0"/>
                      <w:szCs w:val="21"/>
                    </w:rPr>
                    <w:t>（</w:t>
                  </w:r>
                  <w:r>
                    <w:rPr>
                      <w:rFonts w:ascii="Times New Roman" w:hAnsi="Times New Roman" w:eastAsia="宋体" w:cs="Times New Roman"/>
                      <w:bCs/>
                      <w:kern w:val="0"/>
                      <w:szCs w:val="21"/>
                    </w:rPr>
                    <w:t>tC/GJ</w:t>
                  </w:r>
                  <w:r>
                    <w:rPr>
                      <w:rFonts w:hint="eastAsia" w:ascii="Times New Roman" w:hAnsi="Times New Roman" w:eastAsia="宋体" w:cs="Times New Roman"/>
                      <w:bCs/>
                      <w:kern w:val="0"/>
                      <w:szCs w:val="21"/>
                    </w:rPr>
                    <w:t>）</w:t>
                  </w:r>
                </w:p>
              </w:tc>
              <w:tc>
                <w:tcPr>
                  <w:tcW w:w="1000"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bCs/>
                      <w:kern w:val="0"/>
                      <w:szCs w:val="21"/>
                    </w:rPr>
                    <w:t>OF</w:t>
                  </w:r>
                  <w:r>
                    <w:rPr>
                      <w:rFonts w:hint="eastAsia" w:ascii="Times New Roman" w:hAnsi="Times New Roman" w:eastAsia="宋体" w:cs="Times New Roman"/>
                      <w:bCs/>
                      <w:kern w:val="0"/>
                      <w:szCs w:val="21"/>
                      <w:vertAlign w:val="subscript"/>
                    </w:rPr>
                    <w:t>i</w:t>
                  </w:r>
                  <w:r>
                    <w:rPr>
                      <w:rFonts w:hint="eastAsia" w:ascii="Times New Roman" w:hAnsi="Times New Roman" w:eastAsia="宋体" w:cs="Times New Roman"/>
                      <w:bCs/>
                      <w:kern w:val="0"/>
                      <w:szCs w:val="21"/>
                    </w:rPr>
                    <w:t>（%）</w:t>
                  </w:r>
                </w:p>
              </w:tc>
              <w:tc>
                <w:tcPr>
                  <w:tcW w:w="1000"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E</w:t>
                  </w:r>
                  <w:r>
                    <w:rPr>
                      <w:rFonts w:hint="eastAsia" w:ascii="Times New Roman" w:hAnsi="Times New Roman" w:eastAsia="宋体" w:cs="Times New Roman"/>
                      <w:szCs w:val="21"/>
                      <w:vertAlign w:val="subscript"/>
                    </w:rPr>
                    <w:t>燃烧</w:t>
                  </w:r>
                  <w:r>
                    <w:rPr>
                      <w:rFonts w:hint="eastAsia" w:ascii="Times New Roman" w:hAnsi="Times New Roman" w:eastAsia="宋体" w:cs="Times New Roman"/>
                      <w:bCs/>
                      <w:kern w:val="0"/>
                      <w:szCs w:val="21"/>
                    </w:rPr>
                    <w:t>（</w:t>
                  </w:r>
                  <w:r>
                    <w:rPr>
                      <w:rFonts w:ascii="Times New Roman" w:hAnsi="Times New Roman" w:eastAsia="宋体" w:cs="Times New Roman"/>
                      <w:bCs/>
                      <w:kern w:val="0"/>
                      <w:szCs w:val="21"/>
                    </w:rPr>
                    <w:t>t</w:t>
                  </w:r>
                  <w:r>
                    <w:rPr>
                      <w:rFonts w:hint="eastAsia" w:ascii="Times New Roman" w:hAnsi="Times New Roman" w:eastAsia="宋体" w:cs="Times New Roman"/>
                      <w:bCs/>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1" w:hRule="atLeast"/>
              </w:trPr>
              <w:tc>
                <w:tcPr>
                  <w:tcW w:w="874"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0.2</w:t>
                  </w:r>
                </w:p>
              </w:tc>
              <w:tc>
                <w:tcPr>
                  <w:tcW w:w="1126"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42.976</w:t>
                  </w:r>
                </w:p>
              </w:tc>
              <w:tc>
                <w:tcPr>
                  <w:tcW w:w="1000"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20.2×10</w:t>
                  </w:r>
                  <w:r>
                    <w:rPr>
                      <w:rFonts w:hint="eastAsia" w:ascii="Times New Roman" w:hAnsi="Times New Roman" w:eastAsia="宋体" w:cs="Times New Roman"/>
                      <w:szCs w:val="21"/>
                      <w:vertAlign w:val="superscript"/>
                    </w:rPr>
                    <w:t>-3</w:t>
                  </w:r>
                </w:p>
              </w:tc>
              <w:tc>
                <w:tcPr>
                  <w:tcW w:w="1000"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98</w:t>
                  </w:r>
                </w:p>
              </w:tc>
              <w:tc>
                <w:tcPr>
                  <w:tcW w:w="1000" w:type="pct"/>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62.4</w:t>
                  </w:r>
                </w:p>
              </w:tc>
            </w:tr>
          </w:tbl>
          <w:p>
            <w:pPr>
              <w:spacing w:line="360" w:lineRule="auto"/>
              <w:ind w:firstLine="480"/>
              <w:rPr>
                <w:rFonts w:ascii="Times New Roman" w:hAnsi="Times New Roman" w:eastAsia="宋体" w:cs="Times New Roman"/>
                <w:bCs/>
                <w:kern w:val="0"/>
                <w:szCs w:val="21"/>
              </w:rPr>
            </w:pPr>
            <w:r>
              <w:rPr>
                <w:rFonts w:hint="eastAsia" w:ascii="Times New Roman" w:hAnsi="Times New Roman" w:eastAsia="宋体" w:cs="Times New Roman"/>
                <w:bCs/>
                <w:kern w:val="0"/>
                <w:szCs w:val="21"/>
              </w:rPr>
              <w:t>综合上述计算，项目二氧化碳</w:t>
            </w:r>
            <w:r>
              <w:rPr>
                <w:rFonts w:ascii="Times New Roman" w:hAnsi="Times New Roman" w:eastAsia="宋体" w:cs="Times New Roman"/>
                <w:bCs/>
                <w:kern w:val="0"/>
                <w:szCs w:val="21"/>
              </w:rPr>
              <w:t>总</w:t>
            </w:r>
            <w:r>
              <w:rPr>
                <w:rFonts w:hint="eastAsia" w:ascii="Times New Roman" w:hAnsi="Times New Roman" w:eastAsia="宋体" w:cs="Times New Roman"/>
                <w:bCs/>
                <w:kern w:val="0"/>
                <w:szCs w:val="21"/>
              </w:rPr>
              <w:t>排放量为533.35。</w:t>
            </w:r>
          </w:p>
          <w:p>
            <w:pPr>
              <w:spacing w:line="360" w:lineRule="auto"/>
              <w:ind w:firstLine="480"/>
              <w:rPr>
                <w:rFonts w:ascii="Times New Roman" w:hAnsi="Times New Roman" w:eastAsia="宋体" w:cs="Times New Roman"/>
                <w:b/>
                <w:bCs/>
                <w:kern w:val="0"/>
                <w:sz w:val="24"/>
                <w:szCs w:val="24"/>
              </w:rPr>
            </w:pPr>
            <w:r>
              <w:rPr>
                <w:rFonts w:hint="eastAsia" w:ascii="Times New Roman" w:hAnsi="Times New Roman" w:eastAsia="宋体" w:cs="Times New Roman"/>
                <w:b/>
                <w:bCs/>
                <w:kern w:val="0"/>
                <w:sz w:val="24"/>
                <w:szCs w:val="24"/>
              </w:rPr>
              <w:t>减污降碳措施如下：</w:t>
            </w:r>
          </w:p>
          <w:p>
            <w:pPr>
              <w:spacing w:line="360" w:lineRule="auto"/>
              <w:ind w:firstLine="480"/>
              <w:rPr>
                <w:rFonts w:ascii="Times New Roman" w:hAnsi="Times New Roman" w:eastAsia="宋体" w:cs="Times New Roman"/>
                <w:bCs/>
                <w:kern w:val="0"/>
                <w:szCs w:val="21"/>
              </w:rPr>
            </w:pPr>
            <w:r>
              <w:rPr>
                <w:rFonts w:hint="eastAsia" w:ascii="Times New Roman" w:hAnsi="Times New Roman" w:eastAsia="宋体" w:cs="Times New Roman"/>
                <w:bCs/>
                <w:kern w:val="0"/>
                <w:szCs w:val="21"/>
              </w:rPr>
              <w:t>（1）原料</w:t>
            </w:r>
          </w:p>
          <w:p>
            <w:pPr>
              <w:spacing w:line="360" w:lineRule="auto"/>
              <w:ind w:firstLine="480"/>
              <w:rPr>
                <w:rFonts w:ascii="Times New Roman" w:hAnsi="Times New Roman" w:eastAsia="宋体" w:cs="Times New Roman"/>
                <w:szCs w:val="21"/>
              </w:rPr>
            </w:pPr>
            <w:r>
              <w:rPr>
                <w:rFonts w:ascii="Times New Roman" w:hAnsi="Times New Roman" w:eastAsia="宋体" w:cs="Times New Roman"/>
                <w:szCs w:val="21"/>
              </w:rPr>
              <w:t>本项目</w:t>
            </w:r>
            <w:r>
              <w:rPr>
                <w:rFonts w:hint="eastAsia" w:ascii="Times New Roman" w:hAnsi="Times New Roman" w:eastAsia="宋体" w:cs="Times New Roman"/>
                <w:szCs w:val="21"/>
              </w:rPr>
              <w:t>使用废旧塑料</w:t>
            </w:r>
            <w:r>
              <w:rPr>
                <w:rFonts w:ascii="Times New Roman" w:hAnsi="Times New Roman" w:eastAsia="宋体" w:cs="Times New Roman"/>
                <w:szCs w:val="21"/>
              </w:rPr>
              <w:t>，从原料上就具有消除污染</w:t>
            </w:r>
            <w:r>
              <w:rPr>
                <w:rFonts w:hint="eastAsia" w:ascii="Times New Roman" w:hAnsi="Times New Roman" w:eastAsia="宋体" w:cs="Times New Roman"/>
                <w:szCs w:val="21"/>
              </w:rPr>
              <w:t>、节能降碳</w:t>
            </w:r>
            <w:r>
              <w:rPr>
                <w:rFonts w:ascii="Times New Roman" w:hAnsi="Times New Roman" w:eastAsia="宋体" w:cs="Times New Roman"/>
                <w:szCs w:val="21"/>
              </w:rPr>
              <w:t>的特性</w:t>
            </w:r>
            <w:r>
              <w:rPr>
                <w:rFonts w:hint="eastAsia" w:ascii="Times New Roman" w:hAnsi="Times New Roman" w:eastAsia="宋体" w:cs="Times New Roman"/>
                <w:szCs w:val="21"/>
              </w:rPr>
              <w:t>；能源使用电能</w:t>
            </w:r>
            <w:r>
              <w:rPr>
                <w:rFonts w:ascii="Times New Roman" w:hAnsi="Times New Roman" w:eastAsia="宋体" w:cs="Times New Roman"/>
                <w:szCs w:val="21"/>
              </w:rPr>
              <w:t>，均属于清洁能源</w:t>
            </w:r>
            <w:r>
              <w:rPr>
                <w:rFonts w:hint="eastAsia" w:ascii="Times New Roman" w:hAnsi="Times New Roman" w:eastAsia="宋体" w:cs="Times New Roman"/>
                <w:szCs w:val="21"/>
              </w:rPr>
              <w:t>。</w:t>
            </w:r>
          </w:p>
          <w:p>
            <w:pPr>
              <w:spacing w:line="360" w:lineRule="auto"/>
              <w:ind w:firstLine="480"/>
              <w:rPr>
                <w:rFonts w:ascii="Times New Roman" w:hAnsi="Times New Roman" w:eastAsia="宋体" w:cs="Times New Roman"/>
                <w:bCs/>
                <w:kern w:val="0"/>
                <w:szCs w:val="21"/>
              </w:rPr>
            </w:pPr>
            <w:r>
              <w:rPr>
                <w:rFonts w:hint="eastAsia" w:ascii="Times New Roman" w:hAnsi="Times New Roman" w:eastAsia="宋体" w:cs="Times New Roman"/>
                <w:bCs/>
                <w:kern w:val="0"/>
                <w:szCs w:val="21"/>
              </w:rPr>
              <w:t>（</w:t>
            </w:r>
            <w:r>
              <w:rPr>
                <w:rFonts w:ascii="Times New Roman" w:hAnsi="Times New Roman" w:eastAsia="宋体" w:cs="Times New Roman"/>
                <w:bCs/>
                <w:kern w:val="0"/>
                <w:szCs w:val="21"/>
              </w:rPr>
              <w:t>2</w:t>
            </w:r>
            <w:r>
              <w:rPr>
                <w:rFonts w:hint="eastAsia" w:ascii="Times New Roman" w:hAnsi="Times New Roman" w:eastAsia="宋体" w:cs="Times New Roman"/>
                <w:bCs/>
                <w:kern w:val="0"/>
                <w:szCs w:val="21"/>
              </w:rPr>
              <w:t>）资源能源重复利用</w:t>
            </w:r>
          </w:p>
          <w:p>
            <w:pPr>
              <w:tabs>
                <w:tab w:val="right" w:leader="middleDot" w:pos="8460"/>
              </w:tabs>
              <w:adjustRightInd w:val="0"/>
              <w:snapToGrid w:val="0"/>
              <w:spacing w:line="360" w:lineRule="auto"/>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生产废水处理后回用。</w:t>
            </w:r>
          </w:p>
          <w:p>
            <w:pPr>
              <w:spacing w:line="360" w:lineRule="auto"/>
              <w:ind w:firstLine="480"/>
              <w:rPr>
                <w:rFonts w:ascii="Times New Roman" w:hAnsi="Times New Roman" w:eastAsia="宋体" w:cs="Times New Roman"/>
                <w:bCs/>
                <w:kern w:val="0"/>
                <w:szCs w:val="21"/>
              </w:rPr>
            </w:pPr>
            <w:r>
              <w:rPr>
                <w:rFonts w:hint="eastAsia" w:ascii="Times New Roman" w:hAnsi="Times New Roman" w:eastAsia="宋体" w:cs="Times New Roman"/>
                <w:bCs/>
                <w:kern w:val="0"/>
                <w:szCs w:val="21"/>
              </w:rPr>
              <w:t>（</w:t>
            </w:r>
            <w:r>
              <w:rPr>
                <w:rFonts w:ascii="Times New Roman" w:hAnsi="Times New Roman" w:eastAsia="宋体" w:cs="Times New Roman"/>
                <w:bCs/>
                <w:kern w:val="0"/>
                <w:szCs w:val="21"/>
              </w:rPr>
              <w:t>3</w:t>
            </w:r>
            <w:r>
              <w:rPr>
                <w:rFonts w:hint="eastAsia" w:ascii="Times New Roman" w:hAnsi="Times New Roman" w:eastAsia="宋体" w:cs="Times New Roman"/>
                <w:bCs/>
                <w:kern w:val="0"/>
                <w:szCs w:val="21"/>
              </w:rPr>
              <w:t>）工艺及设备节能</w:t>
            </w:r>
          </w:p>
          <w:p>
            <w:pPr>
              <w:spacing w:line="300" w:lineRule="auto"/>
              <w:ind w:firstLine="482"/>
              <w:rPr>
                <w:rFonts w:ascii="Times New Roman" w:hAnsi="Times New Roman" w:eastAsia="宋体" w:cs="Times New Roman"/>
                <w:bCs/>
                <w:kern w:val="0"/>
                <w:szCs w:val="21"/>
              </w:rPr>
            </w:pPr>
            <w:r>
              <w:rPr>
                <w:rFonts w:hint="eastAsia" w:ascii="Times New Roman" w:hAnsi="Times New Roman" w:eastAsia="宋体" w:cs="Times New Roman"/>
                <w:bCs/>
                <w:kern w:val="0"/>
                <w:szCs w:val="21"/>
              </w:rPr>
              <w:t>通过采用先进技术，大量降低物料消耗、减少生产中各种污染物的产生和排放。工艺流程紧凑、合理、顺畅，最大限度的缩短中间环节物流运距，节约投资和运行成本。优化设备布置，缩短物料输送距离，使物料流向符合流程，尽量借用位差，减少重力提升。系统正常运转时，最大限度地提高开机利用率，减少设备空转时间，提高生产效率。投入设备自动化保护装置，减少人工成本，同时保证设备的正常运行、减少事故率。</w:t>
            </w:r>
          </w:p>
          <w:p>
            <w:pPr>
              <w:spacing w:line="300" w:lineRule="auto"/>
              <w:ind w:firstLine="482"/>
              <w:rPr>
                <w:rFonts w:ascii="Times New Roman" w:hAnsi="Times New Roman" w:eastAsia="宋体" w:cs="Times New Roman"/>
                <w:bCs/>
                <w:kern w:val="0"/>
                <w:szCs w:val="21"/>
              </w:rPr>
            </w:pPr>
            <w:r>
              <w:rPr>
                <w:rFonts w:hint="eastAsia" w:ascii="Times New Roman" w:hAnsi="Times New Roman" w:eastAsia="宋体" w:cs="Times New Roman"/>
                <w:bCs/>
                <w:kern w:val="0"/>
                <w:szCs w:val="21"/>
              </w:rPr>
              <w:t>项目主要工艺生产设备选型在保证技术先进、性能可靠的前提下，大多数采用节能型设备。主要用能设备选择具备技术先进性、高效性和可靠性、在国内外广泛使用的产品，使各生产系统在优化条件下操作，提高用能水平。从节能、环保角度出发，设计优先选用效率高、能耗低、噪声低的设备。</w:t>
            </w:r>
          </w:p>
        </w:tc>
      </w:tr>
    </w:tbl>
    <w:p>
      <w:pPr>
        <w:adjustRightInd w:val="0"/>
        <w:snapToGrid w:val="0"/>
        <w:spacing w:line="360" w:lineRule="auto"/>
        <w:ind w:firstLine="562"/>
        <w:rPr>
          <w:rFonts w:ascii="宋体" w:hAnsi="Times New Roman" w:eastAsia="宋体" w:cs="宋体"/>
          <w:b/>
          <w:kern w:val="0"/>
          <w:sz w:val="28"/>
          <w:szCs w:val="28"/>
        </w:rPr>
        <w:sectPr>
          <w:pgSz w:w="11907" w:h="16840"/>
          <w:pgMar w:top="1701" w:right="1531" w:bottom="2127" w:left="1531" w:header="851" w:footer="851" w:gutter="0"/>
          <w:cols w:space="720" w:num="1"/>
          <w:docGrid w:linePitch="312" w:charSpace="0"/>
        </w:sectPr>
      </w:pPr>
    </w:p>
    <w:p>
      <w:pPr>
        <w:widowControl/>
        <w:spacing w:before="100" w:beforeAutospacing="1" w:after="100" w:afterAutospacing="1"/>
        <w:jc w:val="center"/>
        <w:outlineLvl w:val="0"/>
        <w:rPr>
          <w:rFonts w:ascii="黑体" w:hAnsi="黑体" w:eastAsia="黑体" w:cs="Times New Roman"/>
          <w:snapToGrid w:val="0"/>
          <w:kern w:val="0"/>
          <w:sz w:val="30"/>
          <w:szCs w:val="30"/>
          <w:lang w:val="zh-CN"/>
        </w:rPr>
      </w:pPr>
      <w:r>
        <w:rPr>
          <w:rFonts w:hint="eastAsia" w:ascii="黑体" w:hAnsi="黑体" w:eastAsia="黑体" w:cs="Times New Roman"/>
          <w:snapToGrid w:val="0"/>
          <w:kern w:val="0"/>
          <w:sz w:val="30"/>
          <w:szCs w:val="30"/>
          <w:lang w:val="zh-CN"/>
        </w:rPr>
        <w:t>五、</w:t>
      </w:r>
      <w:bookmarkStart w:id="6" w:name="_Hlk54167917"/>
      <w:r>
        <w:rPr>
          <w:rFonts w:hint="eastAsia" w:ascii="黑体" w:hAnsi="黑体" w:eastAsia="黑体" w:cs="Times New Roman"/>
          <w:snapToGrid w:val="0"/>
          <w:kern w:val="0"/>
          <w:sz w:val="30"/>
          <w:szCs w:val="30"/>
          <w:lang w:val="zh-CN"/>
        </w:rPr>
        <w:t>环境保护措施监督检查清单</w:t>
      </w:r>
      <w:bookmarkEnd w:id="6"/>
    </w:p>
    <w:tbl>
      <w:tblPr>
        <w:tblStyle w:val="1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481"/>
        <w:gridCol w:w="1899"/>
        <w:gridCol w:w="993"/>
        <w:gridCol w:w="2268"/>
        <w:gridCol w:w="215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481" w:type="dxa"/>
            <w:tcBorders>
              <w:tl2br w:val="single" w:color="auto" w:sz="4" w:space="0"/>
            </w:tcBorders>
          </w:tcPr>
          <w:p>
            <w:pPr>
              <w:ind w:firstLine="420"/>
              <w:rPr>
                <w:rFonts w:ascii="Times New Roman" w:hAnsi="Times New Roman" w:eastAsia="宋体" w:cs="Times New Roman"/>
                <w:szCs w:val="21"/>
              </w:rPr>
            </w:pPr>
            <w:r>
              <w:rPr>
                <w:rFonts w:ascii="Times New Roman" w:hAnsi="宋体" w:eastAsia="宋体" w:cs="Times New Roman"/>
                <w:szCs w:val="21"/>
              </w:rPr>
              <w:t>内容</w:t>
            </w:r>
          </w:p>
          <w:p>
            <w:pPr>
              <w:rPr>
                <w:rFonts w:ascii="Times New Roman" w:hAnsi="Times New Roman" w:eastAsia="宋体" w:cs="Times New Roman"/>
                <w:szCs w:val="21"/>
              </w:rPr>
            </w:pPr>
            <w:r>
              <w:rPr>
                <w:rFonts w:ascii="Times New Roman" w:hAnsi="宋体" w:eastAsia="宋体" w:cs="Times New Roman"/>
                <w:szCs w:val="21"/>
              </w:rPr>
              <w:t>要素</w:t>
            </w:r>
          </w:p>
        </w:tc>
        <w:tc>
          <w:tcPr>
            <w:tcW w:w="1899" w:type="dxa"/>
            <w:vAlign w:val="center"/>
          </w:tcPr>
          <w:p>
            <w:pPr>
              <w:jc w:val="center"/>
              <w:rPr>
                <w:rFonts w:ascii="Times New Roman" w:hAnsi="Times New Roman" w:eastAsia="宋体" w:cs="Times New Roman"/>
                <w:szCs w:val="21"/>
              </w:rPr>
            </w:pPr>
            <w:r>
              <w:rPr>
                <w:rFonts w:ascii="Times New Roman" w:hAnsi="宋体" w:eastAsia="宋体" w:cs="Times New Roman"/>
                <w:szCs w:val="21"/>
              </w:rPr>
              <w:t>排放口</w:t>
            </w:r>
            <w:r>
              <w:rPr>
                <w:rFonts w:ascii="Times New Roman" w:hAnsi="Times New Roman" w:eastAsia="宋体" w:cs="Times New Roman"/>
                <w:szCs w:val="21"/>
              </w:rPr>
              <w:t>(</w:t>
            </w:r>
            <w:r>
              <w:rPr>
                <w:rFonts w:ascii="Times New Roman" w:hAnsi="宋体" w:eastAsia="宋体" w:cs="Times New Roman"/>
                <w:szCs w:val="21"/>
              </w:rPr>
              <w:t>编号、</w:t>
            </w:r>
          </w:p>
          <w:p>
            <w:pPr>
              <w:jc w:val="center"/>
              <w:rPr>
                <w:rFonts w:ascii="Times New Roman" w:hAnsi="Times New Roman" w:eastAsia="宋体" w:cs="Times New Roman"/>
                <w:szCs w:val="21"/>
              </w:rPr>
            </w:pPr>
            <w:r>
              <w:rPr>
                <w:rFonts w:ascii="Times New Roman" w:hAnsi="宋体" w:eastAsia="宋体" w:cs="Times New Roman"/>
                <w:szCs w:val="21"/>
              </w:rPr>
              <w:t>名称</w:t>
            </w:r>
            <w:r>
              <w:rPr>
                <w:rFonts w:ascii="Times New Roman" w:hAnsi="Times New Roman" w:eastAsia="宋体" w:cs="Times New Roman"/>
                <w:szCs w:val="21"/>
              </w:rPr>
              <w:t>)/</w:t>
            </w:r>
            <w:r>
              <w:rPr>
                <w:rFonts w:ascii="Times New Roman" w:hAnsi="宋体" w:eastAsia="宋体" w:cs="Times New Roman"/>
                <w:szCs w:val="21"/>
              </w:rPr>
              <w:t>污染源</w:t>
            </w:r>
          </w:p>
        </w:tc>
        <w:tc>
          <w:tcPr>
            <w:tcW w:w="993" w:type="dxa"/>
            <w:vAlign w:val="center"/>
          </w:tcPr>
          <w:p>
            <w:pPr>
              <w:jc w:val="center"/>
              <w:rPr>
                <w:rFonts w:ascii="Times New Roman" w:hAnsi="Times New Roman" w:eastAsia="宋体" w:cs="Times New Roman"/>
                <w:szCs w:val="21"/>
              </w:rPr>
            </w:pPr>
            <w:r>
              <w:rPr>
                <w:rFonts w:ascii="Times New Roman" w:hAnsi="宋体" w:eastAsia="宋体" w:cs="Times New Roman"/>
                <w:szCs w:val="21"/>
              </w:rPr>
              <w:t>污染物项目</w:t>
            </w:r>
          </w:p>
        </w:tc>
        <w:tc>
          <w:tcPr>
            <w:tcW w:w="2268" w:type="dxa"/>
            <w:tcBorders>
              <w:bottom w:val="single" w:color="auto" w:sz="4" w:space="0"/>
            </w:tcBorders>
            <w:vAlign w:val="center"/>
          </w:tcPr>
          <w:p>
            <w:pPr>
              <w:jc w:val="center"/>
              <w:rPr>
                <w:rFonts w:ascii="Times New Roman" w:hAnsi="Times New Roman" w:eastAsia="宋体" w:cs="Times New Roman"/>
                <w:szCs w:val="21"/>
              </w:rPr>
            </w:pPr>
            <w:r>
              <w:rPr>
                <w:rFonts w:ascii="Times New Roman" w:hAnsi="宋体" w:eastAsia="宋体" w:cs="Times New Roman"/>
                <w:szCs w:val="21"/>
              </w:rPr>
              <w:t>环境保护措施</w:t>
            </w:r>
          </w:p>
        </w:tc>
        <w:tc>
          <w:tcPr>
            <w:tcW w:w="2159" w:type="dxa"/>
            <w:tcBorders>
              <w:bottom w:val="single" w:color="auto" w:sz="4" w:space="0"/>
            </w:tcBorders>
            <w:vAlign w:val="center"/>
          </w:tcPr>
          <w:p>
            <w:pPr>
              <w:jc w:val="center"/>
              <w:rPr>
                <w:rFonts w:ascii="Times New Roman" w:hAnsi="Times New Roman" w:eastAsia="宋体" w:cs="Times New Roman"/>
                <w:szCs w:val="21"/>
              </w:rPr>
            </w:pPr>
            <w:r>
              <w:rPr>
                <w:rFonts w:ascii="Times New Roman" w:hAnsi="宋体" w:eastAsia="宋体" w:cs="Times New Roman"/>
                <w:szCs w:val="21"/>
              </w:rPr>
              <w:t>执行标准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481" w:type="dxa"/>
            <w:vAlign w:val="center"/>
          </w:tcPr>
          <w:p>
            <w:pPr>
              <w:jc w:val="center"/>
              <w:rPr>
                <w:rFonts w:ascii="Times New Roman" w:hAnsi="Times New Roman" w:eastAsia="宋体" w:cs="Times New Roman"/>
                <w:szCs w:val="21"/>
              </w:rPr>
            </w:pPr>
            <w:r>
              <w:rPr>
                <w:rFonts w:ascii="Times New Roman" w:hAnsi="宋体" w:eastAsia="宋体" w:cs="Times New Roman"/>
                <w:szCs w:val="21"/>
              </w:rPr>
              <w:t>大气环境</w:t>
            </w:r>
          </w:p>
        </w:tc>
        <w:tc>
          <w:tcPr>
            <w:tcW w:w="189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污水处理系统</w:t>
            </w:r>
          </w:p>
        </w:tc>
        <w:tc>
          <w:tcPr>
            <w:tcW w:w="993"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臭气浓度</w:t>
            </w:r>
          </w:p>
        </w:tc>
        <w:tc>
          <w:tcPr>
            <w:tcW w:w="2268"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喷洒生物除臭剂</w:t>
            </w:r>
          </w:p>
        </w:tc>
        <w:tc>
          <w:tcPr>
            <w:tcW w:w="215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kern w:val="24"/>
                <w:szCs w:val="21"/>
              </w:rPr>
              <w:t>《恶臭污染物排放标准》（GB14554-93）中表1二级厂界标准值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1481" w:type="dxa"/>
            <w:vAlign w:val="center"/>
          </w:tcPr>
          <w:p>
            <w:pPr>
              <w:jc w:val="center"/>
              <w:rPr>
                <w:rFonts w:ascii="Times New Roman" w:hAnsi="Times New Roman" w:eastAsia="宋体" w:cs="Times New Roman"/>
                <w:szCs w:val="21"/>
              </w:rPr>
            </w:pPr>
            <w:r>
              <w:rPr>
                <w:rFonts w:ascii="Times New Roman" w:hAnsi="宋体" w:eastAsia="宋体" w:cs="Times New Roman"/>
                <w:szCs w:val="21"/>
              </w:rPr>
              <w:t>地表水环境</w:t>
            </w:r>
          </w:p>
        </w:tc>
        <w:tc>
          <w:tcPr>
            <w:tcW w:w="189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破碎、甩干及筛分废水</w:t>
            </w:r>
          </w:p>
        </w:tc>
        <w:tc>
          <w:tcPr>
            <w:tcW w:w="993"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c>
          <w:tcPr>
            <w:tcW w:w="2268"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隔油池+絮凝沉淀</w:t>
            </w:r>
          </w:p>
        </w:tc>
        <w:tc>
          <w:tcPr>
            <w:tcW w:w="2159"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1481" w:type="dxa"/>
            <w:vAlign w:val="center"/>
          </w:tcPr>
          <w:p>
            <w:pPr>
              <w:jc w:val="center"/>
              <w:rPr>
                <w:rFonts w:ascii="Times New Roman" w:hAnsi="Times New Roman" w:eastAsia="宋体" w:cs="Times New Roman"/>
                <w:szCs w:val="21"/>
              </w:rPr>
            </w:pPr>
            <w:r>
              <w:rPr>
                <w:rFonts w:ascii="Times New Roman" w:hAnsi="宋体" w:eastAsia="宋体" w:cs="Times New Roman"/>
                <w:szCs w:val="21"/>
              </w:rPr>
              <w:t>声环境</w:t>
            </w:r>
          </w:p>
        </w:tc>
        <w:tc>
          <w:tcPr>
            <w:tcW w:w="1899" w:type="dxa"/>
            <w:vAlign w:val="center"/>
          </w:tcPr>
          <w:p>
            <w:pPr>
              <w:jc w:val="center"/>
              <w:rPr>
                <w:rFonts w:ascii="Times New Roman" w:hAnsi="Times New Roman" w:eastAsia="宋体" w:cs="Times New Roman"/>
                <w:szCs w:val="21"/>
              </w:rPr>
            </w:pPr>
            <w:r>
              <w:rPr>
                <w:rFonts w:ascii="Times New Roman" w:hAnsi="宋体" w:eastAsia="宋体" w:cs="Times New Roman"/>
                <w:szCs w:val="21"/>
              </w:rPr>
              <w:t>粉碎机、扒瓶机、拆包机等</w:t>
            </w:r>
          </w:p>
        </w:tc>
        <w:tc>
          <w:tcPr>
            <w:tcW w:w="993" w:type="dxa"/>
            <w:vAlign w:val="center"/>
          </w:tcPr>
          <w:p>
            <w:pPr>
              <w:jc w:val="center"/>
              <w:rPr>
                <w:rFonts w:ascii="Times New Roman" w:hAnsi="Times New Roman" w:eastAsia="宋体" w:cs="Times New Roman"/>
                <w:szCs w:val="21"/>
              </w:rPr>
            </w:pPr>
            <w:r>
              <w:rPr>
                <w:rFonts w:ascii="Times New Roman" w:hAnsi="宋体" w:eastAsia="宋体" w:cs="Times New Roman"/>
                <w:szCs w:val="21"/>
              </w:rPr>
              <w:t>等效连续</w:t>
            </w:r>
            <w:r>
              <w:rPr>
                <w:rFonts w:ascii="Times New Roman" w:hAnsi="Times New Roman" w:eastAsia="宋体" w:cs="Times New Roman"/>
                <w:szCs w:val="21"/>
              </w:rPr>
              <w:t>A</w:t>
            </w:r>
            <w:r>
              <w:rPr>
                <w:rFonts w:ascii="Times New Roman" w:hAnsi="宋体" w:eastAsia="宋体" w:cs="Times New Roman"/>
                <w:szCs w:val="21"/>
              </w:rPr>
              <w:t>声级</w:t>
            </w:r>
          </w:p>
        </w:tc>
        <w:tc>
          <w:tcPr>
            <w:tcW w:w="2268" w:type="dxa"/>
            <w:vAlign w:val="center"/>
          </w:tcPr>
          <w:p>
            <w:pPr>
              <w:jc w:val="center"/>
              <w:rPr>
                <w:rFonts w:ascii="Times New Roman" w:hAnsi="Times New Roman" w:eastAsia="宋体" w:cs="Times New Roman"/>
                <w:szCs w:val="21"/>
              </w:rPr>
            </w:pPr>
            <w:r>
              <w:rPr>
                <w:rFonts w:ascii="Times New Roman" w:hAnsi="宋体" w:eastAsia="宋体" w:cs="Times New Roman"/>
                <w:szCs w:val="21"/>
              </w:rPr>
              <w:t>减震基础</w:t>
            </w:r>
            <w:r>
              <w:rPr>
                <w:rFonts w:ascii="Times New Roman" w:hAnsi="Times New Roman" w:eastAsia="宋体" w:cs="Times New Roman"/>
                <w:szCs w:val="21"/>
              </w:rPr>
              <w:t>+</w:t>
            </w:r>
            <w:r>
              <w:rPr>
                <w:rFonts w:ascii="Times New Roman" w:hAnsi="宋体" w:eastAsia="宋体" w:cs="Times New Roman"/>
                <w:szCs w:val="21"/>
              </w:rPr>
              <w:t>厂房隔声</w:t>
            </w:r>
            <w:r>
              <w:rPr>
                <w:rFonts w:hint="eastAsia" w:ascii="Times New Roman" w:hAnsi="宋体" w:eastAsia="宋体" w:cs="Times New Roman"/>
                <w:szCs w:val="21"/>
              </w:rPr>
              <w:t>（建筑物内设隔间）</w:t>
            </w:r>
          </w:p>
        </w:tc>
        <w:tc>
          <w:tcPr>
            <w:tcW w:w="2159" w:type="dxa"/>
            <w:vAlign w:val="center"/>
          </w:tcPr>
          <w:p>
            <w:pPr>
              <w:jc w:val="center"/>
              <w:rPr>
                <w:rFonts w:ascii="Times New Roman" w:hAnsi="Times New Roman" w:eastAsia="宋体" w:cs="Times New Roman"/>
                <w:szCs w:val="21"/>
              </w:rPr>
            </w:pPr>
            <w:r>
              <w:rPr>
                <w:rFonts w:ascii="Times New Roman" w:hAnsi="宋体" w:eastAsia="宋体" w:cs="Times New Roman"/>
                <w:szCs w:val="21"/>
              </w:rPr>
              <w:t>《工业企业厂界环境噪声排放标准》（</w:t>
            </w:r>
            <w:r>
              <w:rPr>
                <w:rFonts w:ascii="Times New Roman" w:hAnsi="Times New Roman" w:eastAsia="宋体" w:cs="Times New Roman"/>
                <w:szCs w:val="21"/>
              </w:rPr>
              <w:t>GB12348-2008）中</w:t>
            </w:r>
            <w:r>
              <w:rPr>
                <w:rFonts w:hint="eastAsia" w:ascii="Times New Roman" w:hAnsi="Times New Roman" w:eastAsia="宋体" w:cs="Times New Roman"/>
                <w:szCs w:val="21"/>
              </w:rPr>
              <w:t>2</w:t>
            </w:r>
            <w:r>
              <w:rPr>
                <w:rFonts w:ascii="Times New Roman" w:hAnsi="Times New Roman" w:eastAsia="宋体" w:cs="Times New Roman"/>
                <w:szCs w:val="21"/>
              </w:rPr>
              <w:t>类、</w:t>
            </w:r>
            <w:r>
              <w:rPr>
                <w:rFonts w:hint="eastAsia" w:ascii="Times New Roman" w:hAnsi="Times New Roman" w:eastAsia="宋体" w:cs="Times New Roman"/>
                <w:szCs w:val="21"/>
              </w:rPr>
              <w:t>4类</w:t>
            </w:r>
            <w:r>
              <w:rPr>
                <w:rFonts w:ascii="Times New Roman" w:hAnsi="Times New Roman" w:eastAsia="宋体" w:cs="Times New Roman"/>
                <w:szCs w:val="21"/>
              </w:rPr>
              <w:t>标准，昼间：6</w:t>
            </w:r>
            <w:r>
              <w:rPr>
                <w:rFonts w:hint="eastAsia" w:ascii="Times New Roman" w:hAnsi="Times New Roman" w:eastAsia="宋体" w:cs="Times New Roman"/>
                <w:szCs w:val="21"/>
              </w:rPr>
              <w:t>0</w:t>
            </w:r>
            <w:r>
              <w:rPr>
                <w:rFonts w:ascii="Times New Roman" w:hAnsi="Times New Roman" w:eastAsia="宋体" w:cs="Times New Roman"/>
                <w:szCs w:val="21"/>
              </w:rPr>
              <w:t>dB(A)，夜间：</w:t>
            </w:r>
            <w:r>
              <w:rPr>
                <w:rFonts w:hint="eastAsia" w:ascii="Times New Roman" w:hAnsi="Times New Roman" w:eastAsia="宋体" w:cs="Times New Roman"/>
                <w:szCs w:val="21"/>
              </w:rPr>
              <w:t>50</w:t>
            </w:r>
            <w:r>
              <w:rPr>
                <w:rFonts w:ascii="Times New Roman" w:hAnsi="Times New Roman" w:eastAsia="宋体" w:cs="Times New Roman"/>
                <w:szCs w:val="21"/>
              </w:rPr>
              <w:t xml:space="preserve"> dB(A)，</w:t>
            </w:r>
            <w:r>
              <w:rPr>
                <w:rFonts w:hint="eastAsia" w:ascii="Times New Roman" w:hAnsi="Times New Roman" w:eastAsia="宋体" w:cs="Times New Roman"/>
                <w:szCs w:val="21"/>
              </w:rPr>
              <w:t>4类标准，</w:t>
            </w:r>
            <w:r>
              <w:rPr>
                <w:rFonts w:ascii="Times New Roman" w:hAnsi="Times New Roman" w:eastAsia="宋体" w:cs="Times New Roman"/>
                <w:szCs w:val="21"/>
              </w:rPr>
              <w:t>昼间：</w:t>
            </w:r>
            <w:r>
              <w:rPr>
                <w:rFonts w:hint="eastAsia" w:ascii="Times New Roman" w:hAnsi="Times New Roman" w:eastAsia="宋体" w:cs="Times New Roman"/>
                <w:szCs w:val="21"/>
              </w:rPr>
              <w:t>70</w:t>
            </w:r>
            <w:r>
              <w:rPr>
                <w:rFonts w:ascii="Times New Roman" w:hAnsi="Times New Roman" w:eastAsia="宋体" w:cs="Times New Roman"/>
                <w:szCs w:val="21"/>
              </w:rPr>
              <w:t>dB(A)，夜间：</w:t>
            </w:r>
            <w:r>
              <w:rPr>
                <w:rFonts w:hint="eastAsia" w:ascii="Times New Roman" w:hAnsi="Times New Roman" w:eastAsia="宋体" w:cs="Times New Roman"/>
                <w:szCs w:val="21"/>
              </w:rPr>
              <w:t>55</w:t>
            </w:r>
            <w:r>
              <w:rPr>
                <w:rFonts w:ascii="Times New Roman" w:hAnsi="Times New Roman" w:eastAsia="宋体" w:cs="Times New Roman"/>
                <w:szCs w:val="21"/>
              </w:rPr>
              <w:t>dB(A)，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4" w:hRule="atLeast"/>
          <w:jc w:val="center"/>
        </w:trPr>
        <w:tc>
          <w:tcPr>
            <w:tcW w:w="1481" w:type="dxa"/>
            <w:vAlign w:val="center"/>
          </w:tcPr>
          <w:p>
            <w:pPr>
              <w:jc w:val="center"/>
              <w:rPr>
                <w:rFonts w:ascii="Times New Roman" w:hAnsi="Times New Roman" w:eastAsia="宋体" w:cs="Times New Roman"/>
                <w:szCs w:val="21"/>
              </w:rPr>
            </w:pPr>
            <w:r>
              <w:rPr>
                <w:rFonts w:ascii="Times New Roman" w:hAnsi="宋体" w:eastAsia="宋体" w:cs="Times New Roman"/>
                <w:szCs w:val="21"/>
              </w:rPr>
              <w:t>电磁辐射</w:t>
            </w:r>
          </w:p>
        </w:tc>
        <w:tc>
          <w:tcPr>
            <w:tcW w:w="1899"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w:t>
            </w:r>
          </w:p>
        </w:tc>
        <w:tc>
          <w:tcPr>
            <w:tcW w:w="993"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w:t>
            </w:r>
          </w:p>
        </w:tc>
        <w:tc>
          <w:tcPr>
            <w:tcW w:w="2268"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w:t>
            </w:r>
          </w:p>
        </w:tc>
        <w:tc>
          <w:tcPr>
            <w:tcW w:w="2159"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36" w:hRule="atLeast"/>
          <w:jc w:val="center"/>
        </w:trPr>
        <w:tc>
          <w:tcPr>
            <w:tcW w:w="1481" w:type="dxa"/>
            <w:vAlign w:val="center"/>
          </w:tcPr>
          <w:p>
            <w:pPr>
              <w:jc w:val="center"/>
              <w:rPr>
                <w:rFonts w:ascii="Times New Roman" w:hAnsi="Times New Roman" w:eastAsia="宋体" w:cs="Times New Roman"/>
                <w:szCs w:val="21"/>
              </w:rPr>
            </w:pPr>
            <w:r>
              <w:rPr>
                <w:rFonts w:ascii="Times New Roman" w:hAnsi="宋体" w:eastAsia="宋体" w:cs="Times New Roman"/>
                <w:szCs w:val="21"/>
              </w:rPr>
              <w:t>固体废物</w:t>
            </w:r>
          </w:p>
        </w:tc>
        <w:tc>
          <w:tcPr>
            <w:tcW w:w="7319" w:type="dxa"/>
            <w:gridSpan w:val="4"/>
            <w:vAlign w:val="center"/>
          </w:tcPr>
          <w:p>
            <w:pPr>
              <w:rPr>
                <w:rFonts w:ascii="Times New Roman" w:hAnsi="Times New Roman" w:eastAsia="宋体" w:cs="Times New Roman"/>
                <w:szCs w:val="21"/>
              </w:rPr>
            </w:pPr>
            <w:r>
              <w:rPr>
                <w:rFonts w:hint="eastAsia" w:ascii="宋体" w:hAnsi="Times New Roman" w:eastAsia="宋体" w:cs="宋体"/>
                <w:kern w:val="0"/>
                <w:szCs w:val="21"/>
              </w:rPr>
              <w:t>废机油、废机油桶、暂存在危废间，定期由资质单位进行处置。污水处理系统产生的絮凝沉淀物定期交有处理能力的单位进行处置，废包装袋返回废品收购站循环利用，植物油渣定期交有处理能力的单位进行处置，挑选出的其他材质的瓶子外售给废品站，生活垃圾收集后，交环卫部门进行处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76" w:hRule="atLeast"/>
          <w:jc w:val="center"/>
        </w:trPr>
        <w:tc>
          <w:tcPr>
            <w:tcW w:w="1481" w:type="dxa"/>
            <w:vAlign w:val="center"/>
          </w:tcPr>
          <w:p>
            <w:pPr>
              <w:jc w:val="center"/>
              <w:rPr>
                <w:rFonts w:ascii="Times New Roman" w:hAnsi="Times New Roman" w:eastAsia="宋体" w:cs="Times New Roman"/>
                <w:szCs w:val="21"/>
              </w:rPr>
            </w:pPr>
            <w:r>
              <w:rPr>
                <w:rFonts w:ascii="Times New Roman" w:hAnsi="宋体" w:eastAsia="宋体" w:cs="Times New Roman"/>
                <w:szCs w:val="21"/>
              </w:rPr>
              <w:t>土壤及地下水</w:t>
            </w:r>
          </w:p>
          <w:p>
            <w:pPr>
              <w:jc w:val="center"/>
              <w:rPr>
                <w:rFonts w:ascii="Times New Roman" w:hAnsi="Times New Roman" w:eastAsia="宋体" w:cs="Times New Roman"/>
                <w:szCs w:val="21"/>
              </w:rPr>
            </w:pPr>
            <w:r>
              <w:rPr>
                <w:rFonts w:ascii="Times New Roman" w:hAnsi="宋体" w:eastAsia="宋体" w:cs="Times New Roman"/>
                <w:szCs w:val="21"/>
              </w:rPr>
              <w:t>污染防治措施</w:t>
            </w:r>
          </w:p>
        </w:tc>
        <w:tc>
          <w:tcPr>
            <w:tcW w:w="7319" w:type="dxa"/>
            <w:gridSpan w:val="4"/>
            <w:vAlign w:val="center"/>
          </w:tcPr>
          <w:p>
            <w:pPr>
              <w:rPr>
                <w:rFonts w:ascii="Times New Roman" w:hAnsi="Times New Roman" w:eastAsia="宋体" w:cs="Times New Roman"/>
                <w:szCs w:val="21"/>
              </w:rPr>
            </w:pPr>
            <w:r>
              <w:rPr>
                <w:rFonts w:hint="eastAsia" w:ascii="Times New Roman" w:hAnsi="Times New Roman" w:eastAsia="宋体" w:cs="Times New Roman"/>
                <w:szCs w:val="21"/>
              </w:rPr>
              <w:t>①源头控制措施</w:t>
            </w:r>
          </w:p>
          <w:p>
            <w:pPr>
              <w:rPr>
                <w:rFonts w:ascii="Times New Roman" w:hAnsi="Times New Roman" w:eastAsia="宋体" w:cs="Times New Roman"/>
                <w:szCs w:val="21"/>
              </w:rPr>
            </w:pPr>
            <w:r>
              <w:rPr>
                <w:rFonts w:hint="eastAsia" w:ascii="Times New Roman" w:hAnsi="Times New Roman" w:eastAsia="宋体" w:cs="Times New Roman"/>
                <w:szCs w:val="21"/>
              </w:rPr>
              <w:t>a.提高企业清洁生产水平，减少污染物产生量；</w:t>
            </w:r>
          </w:p>
          <w:p>
            <w:pPr>
              <w:rPr>
                <w:rFonts w:ascii="Times New Roman" w:hAnsi="Times New Roman" w:eastAsia="宋体" w:cs="Times New Roman"/>
                <w:szCs w:val="21"/>
              </w:rPr>
            </w:pPr>
            <w:r>
              <w:rPr>
                <w:rFonts w:hint="eastAsia" w:ascii="Times New Roman" w:hAnsi="Times New Roman" w:eastAsia="宋体" w:cs="Times New Roman"/>
                <w:szCs w:val="21"/>
              </w:rPr>
              <w:t>b.加强企业日常设备、废水贮存、处理及管线等的巡检和检漏，减少污染物的跑、冒、</w:t>
            </w:r>
          </w:p>
          <w:p>
            <w:pPr>
              <w:rPr>
                <w:rFonts w:ascii="Times New Roman" w:hAnsi="Times New Roman" w:eastAsia="宋体" w:cs="Times New Roman"/>
                <w:szCs w:val="21"/>
              </w:rPr>
            </w:pPr>
            <w:r>
              <w:rPr>
                <w:rFonts w:hint="eastAsia" w:ascii="Times New Roman" w:hAnsi="Times New Roman" w:eastAsia="宋体" w:cs="Times New Roman"/>
                <w:szCs w:val="21"/>
              </w:rPr>
              <w:t>滴、漏，将污染物泄漏的环境风险事故降到最低限度。</w:t>
            </w:r>
          </w:p>
          <w:p>
            <w:pPr>
              <w:rPr>
                <w:rFonts w:ascii="Times New Roman" w:hAnsi="Times New Roman" w:eastAsia="宋体" w:cs="Times New Roman"/>
                <w:szCs w:val="21"/>
              </w:rPr>
            </w:pPr>
            <w:r>
              <w:rPr>
                <w:rFonts w:hint="eastAsia" w:ascii="Times New Roman" w:hAnsi="Times New Roman" w:eastAsia="宋体" w:cs="Times New Roman"/>
                <w:szCs w:val="21"/>
              </w:rPr>
              <w:t>②分区防渗措施</w:t>
            </w:r>
          </w:p>
          <w:p>
            <w:pPr>
              <w:rPr>
                <w:rFonts w:ascii="Times New Roman" w:hAnsi="Times New Roman" w:eastAsia="宋体" w:cs="Times New Roman"/>
                <w:szCs w:val="21"/>
              </w:rPr>
            </w:pPr>
            <w:r>
              <w:rPr>
                <w:rFonts w:hint="eastAsia" w:ascii="Times New Roman" w:hAnsi="Times New Roman" w:eastAsia="宋体" w:cs="Times New Roman"/>
                <w:szCs w:val="21"/>
              </w:rPr>
              <w:t>依据本项目污染物产生、处理的过程，结合场区总平面布置情况，根据《环境影响评价技术导则地下水环境》（HJ610-2016）表7中防渗的相关要求，厂区拟采取防渗措施。</w:t>
            </w: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1"/>
              <w:gridCol w:w="1419"/>
              <w:gridCol w:w="1419"/>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序号</w:t>
                  </w:r>
                </w:p>
              </w:tc>
              <w:tc>
                <w:tcPr>
                  <w:tcW w:w="1000" w:type="pct"/>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污染分区</w:t>
                  </w:r>
                </w:p>
              </w:tc>
              <w:tc>
                <w:tcPr>
                  <w:tcW w:w="1000" w:type="pct"/>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名称</w:t>
                  </w:r>
                </w:p>
              </w:tc>
              <w:tc>
                <w:tcPr>
                  <w:tcW w:w="2505" w:type="pct"/>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防渗技术要求。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95" w:type="pct"/>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1</w:t>
                  </w:r>
                </w:p>
              </w:tc>
              <w:tc>
                <w:tcPr>
                  <w:tcW w:w="1000" w:type="pct"/>
                  <w:vMerge w:val="restart"/>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重点防渗区</w:t>
                  </w:r>
                </w:p>
              </w:tc>
              <w:tc>
                <w:tcPr>
                  <w:tcW w:w="1000" w:type="pct"/>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污水处理系统</w:t>
                  </w:r>
                </w:p>
              </w:tc>
              <w:tc>
                <w:tcPr>
                  <w:tcW w:w="2505" w:type="pct"/>
                  <w:vMerge w:val="restart"/>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等效黏土防渗层Mb≥6.0m，渗透系数≤</w:t>
                  </w:r>
                </w:p>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1.0×10</w:t>
                  </w:r>
                  <w:r>
                    <w:rPr>
                      <w:rFonts w:hint="eastAsia" w:ascii="Times New Roman" w:hAnsi="Times New Roman" w:eastAsia="宋体" w:cs="Times New Roman"/>
                      <w:szCs w:val="21"/>
                      <w:vertAlign w:val="superscript"/>
                    </w:rPr>
                    <w:t>-7</w:t>
                  </w:r>
                  <w:r>
                    <w:rPr>
                      <w:rFonts w:hint="eastAsia" w:ascii="Times New Roman" w:hAnsi="Times New Roman" w:eastAsia="宋体" w:cs="Times New Roman"/>
                      <w:szCs w:val="21"/>
                    </w:rPr>
                    <w:t>cm/s；危废暂存间参照GB18598 执行</w:t>
                  </w:r>
                  <w:r>
                    <w:rPr>
                      <w:rFonts w:ascii="Times New Roman" w:hAnsi="Times New Roman" w:eastAsia="宋体" w:cs="Times New Roman"/>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2</w:t>
                  </w:r>
                </w:p>
              </w:tc>
              <w:tc>
                <w:tcPr>
                  <w:tcW w:w="1000" w:type="pct"/>
                  <w:vMerge w:val="continue"/>
                  <w:shd w:val="clear" w:color="auto" w:fill="auto"/>
                  <w:vAlign w:val="center"/>
                </w:tcPr>
                <w:p>
                  <w:pPr>
                    <w:adjustRightInd w:val="0"/>
                    <w:snapToGrid w:val="0"/>
                    <w:jc w:val="center"/>
                    <w:rPr>
                      <w:rFonts w:ascii="Times New Roman" w:hAnsi="Times New Roman" w:eastAsia="宋体" w:cs="Times New Roman"/>
                      <w:szCs w:val="21"/>
                    </w:rPr>
                  </w:pPr>
                </w:p>
              </w:tc>
              <w:tc>
                <w:tcPr>
                  <w:tcW w:w="1000" w:type="pct"/>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危废间</w:t>
                  </w:r>
                </w:p>
              </w:tc>
              <w:tc>
                <w:tcPr>
                  <w:tcW w:w="2505" w:type="pct"/>
                  <w:vMerge w:val="continue"/>
                  <w:shd w:val="clear" w:color="auto" w:fill="auto"/>
                  <w:vAlign w:val="center"/>
                </w:tcPr>
                <w:p>
                  <w:pPr>
                    <w:adjustRightInd w:val="0"/>
                    <w:snapToGrid w:val="0"/>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95" w:type="pct"/>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3</w:t>
                  </w:r>
                </w:p>
              </w:tc>
              <w:tc>
                <w:tcPr>
                  <w:tcW w:w="1000" w:type="pct"/>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一般防渗区</w:t>
                  </w:r>
                </w:p>
              </w:tc>
              <w:tc>
                <w:tcPr>
                  <w:tcW w:w="1000" w:type="pct"/>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生产车间、库房</w:t>
                  </w:r>
                </w:p>
              </w:tc>
              <w:tc>
                <w:tcPr>
                  <w:tcW w:w="2505" w:type="pct"/>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等效黏土防渗层Mb≥1.5m，渗透系数≤</w:t>
                  </w:r>
                </w:p>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1.0×10</w:t>
                  </w:r>
                  <w:r>
                    <w:rPr>
                      <w:rFonts w:hint="eastAsia" w:ascii="Times New Roman" w:hAnsi="Times New Roman" w:eastAsia="宋体" w:cs="Times New Roman"/>
                      <w:szCs w:val="21"/>
                      <w:vertAlign w:val="superscript"/>
                    </w:rPr>
                    <w:t>-7</w:t>
                  </w:r>
                  <w:r>
                    <w:rPr>
                      <w:rFonts w:hint="eastAsia" w:ascii="Times New Roman" w:hAnsi="Times New Roman" w:eastAsia="宋体" w:cs="Times New Roman"/>
                      <w:szCs w:val="21"/>
                    </w:rPr>
                    <w:t>cm/s；或参考GB/T50934 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4</w:t>
                  </w:r>
                </w:p>
              </w:tc>
              <w:tc>
                <w:tcPr>
                  <w:tcW w:w="1000" w:type="pct"/>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简单防渗区</w:t>
                  </w:r>
                </w:p>
              </w:tc>
              <w:tc>
                <w:tcPr>
                  <w:tcW w:w="1000" w:type="pct"/>
                  <w:shd w:val="clear" w:color="auto" w:fill="auto"/>
                  <w:vAlign w:val="center"/>
                </w:tcPr>
                <w:p>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办公区</w:t>
                  </w:r>
                </w:p>
              </w:tc>
              <w:tc>
                <w:tcPr>
                  <w:tcW w:w="2505" w:type="pct"/>
                  <w:shd w:val="clear" w:color="auto" w:fill="auto"/>
                  <w:vAlign w:val="center"/>
                </w:tcPr>
                <w:p>
                  <w:pPr>
                    <w:autoSpaceDE w:val="0"/>
                    <w:autoSpaceDN w:val="0"/>
                    <w:adjustRightInd w:val="0"/>
                    <w:jc w:val="center"/>
                    <w:rPr>
                      <w:rFonts w:ascii="Times New Roman" w:hAnsi="Times New Roman" w:eastAsia="宋体" w:cs="Times New Roman"/>
                      <w:szCs w:val="21"/>
                    </w:rPr>
                  </w:pPr>
                  <w:r>
                    <w:rPr>
                      <w:rFonts w:hint="eastAsia" w:ascii="Times New Roman" w:hAnsi="Times New Roman" w:eastAsia="宋体" w:cs="Times New Roman"/>
                      <w:szCs w:val="21"/>
                    </w:rPr>
                    <w:t>地面硬化</w:t>
                  </w:r>
                </w:p>
              </w:tc>
            </w:tr>
          </w:tbl>
          <w:p>
            <w:pPr>
              <w:rPr>
                <w:rFonts w:ascii="Times New Roman" w:hAnsi="Times New Roman" w:eastAsia="宋体" w:cs="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1481" w:type="dxa"/>
            <w:vAlign w:val="center"/>
          </w:tcPr>
          <w:p>
            <w:pPr>
              <w:jc w:val="center"/>
              <w:rPr>
                <w:rFonts w:ascii="Times New Roman" w:hAnsi="Times New Roman" w:eastAsia="宋体" w:cs="Times New Roman"/>
                <w:szCs w:val="21"/>
              </w:rPr>
            </w:pPr>
            <w:r>
              <w:rPr>
                <w:rFonts w:ascii="Times New Roman" w:hAnsi="宋体" w:eastAsia="宋体" w:cs="Times New Roman"/>
                <w:szCs w:val="21"/>
              </w:rPr>
              <w:t>生态保护措施</w:t>
            </w:r>
          </w:p>
        </w:tc>
        <w:tc>
          <w:tcPr>
            <w:tcW w:w="7319" w:type="dxa"/>
            <w:gridSpan w:val="4"/>
            <w:vAlign w:val="center"/>
          </w:tcPr>
          <w:p>
            <w:pPr>
              <w:jc w:val="center"/>
              <w:rPr>
                <w:rFonts w:ascii="Times New Roman" w:hAnsi="Times New Roman" w:eastAsia="宋体" w:cs="Times New Roman"/>
                <w:szCs w:val="21"/>
              </w:rPr>
            </w:pPr>
            <w:r>
              <w:rPr>
                <w:rFonts w:ascii="Times New Roman" w:hAnsi="Times New Roman" w:eastAsia="宋体" w:cs="Times New Roman"/>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76" w:hRule="atLeast"/>
          <w:jc w:val="center"/>
        </w:trPr>
        <w:tc>
          <w:tcPr>
            <w:tcW w:w="1481" w:type="dxa"/>
            <w:vAlign w:val="center"/>
          </w:tcPr>
          <w:p>
            <w:pPr>
              <w:jc w:val="center"/>
              <w:rPr>
                <w:rFonts w:ascii="Times New Roman" w:hAnsi="Times New Roman" w:eastAsia="宋体" w:cs="Times New Roman"/>
                <w:spacing w:val="-8"/>
                <w:szCs w:val="21"/>
              </w:rPr>
            </w:pPr>
            <w:r>
              <w:rPr>
                <w:rFonts w:ascii="Times New Roman" w:hAnsi="宋体" w:eastAsia="宋体" w:cs="Times New Roman"/>
                <w:spacing w:val="-8"/>
                <w:szCs w:val="21"/>
              </w:rPr>
              <w:t>环境风险</w:t>
            </w:r>
          </w:p>
          <w:p>
            <w:pPr>
              <w:jc w:val="center"/>
              <w:rPr>
                <w:rFonts w:ascii="Times New Roman" w:hAnsi="Times New Roman" w:eastAsia="宋体" w:cs="Times New Roman"/>
                <w:spacing w:val="-8"/>
                <w:szCs w:val="21"/>
              </w:rPr>
            </w:pPr>
            <w:r>
              <w:rPr>
                <w:rFonts w:ascii="Times New Roman" w:hAnsi="宋体" w:eastAsia="宋体" w:cs="Times New Roman"/>
                <w:spacing w:val="-8"/>
                <w:szCs w:val="21"/>
              </w:rPr>
              <w:t>防范措施</w:t>
            </w:r>
          </w:p>
        </w:tc>
        <w:tc>
          <w:tcPr>
            <w:tcW w:w="7319" w:type="dxa"/>
            <w:gridSpan w:val="4"/>
            <w:vAlign w:val="center"/>
          </w:tcPr>
          <w:p>
            <w:pPr>
              <w:rPr>
                <w:rFonts w:ascii="Times New Roman" w:hAnsi="Times New Roman" w:eastAsia="宋体" w:cs="Times New Roman"/>
                <w:szCs w:val="21"/>
              </w:rPr>
            </w:pPr>
            <w:r>
              <w:rPr>
                <w:rFonts w:ascii="Times New Roman" w:hAnsi="Times New Roman" w:eastAsia="宋体" w:cs="Times New Roman"/>
                <w:szCs w:val="21"/>
              </w:rPr>
              <w:fldChar w:fldCharType="begin"/>
            </w:r>
            <w:r>
              <w:rPr>
                <w:rFonts w:hint="eastAsia" w:ascii="Times New Roman" w:hAnsi="Times New Roman" w:eastAsia="宋体" w:cs="Times New Roman"/>
                <w:szCs w:val="21"/>
              </w:rPr>
              <w:instrText xml:space="preserve">eq \o\ac(○,1)</w:instrText>
            </w:r>
            <w:r>
              <w:rPr>
                <w:rFonts w:ascii="Times New Roman" w:hAnsi="Times New Roman" w:eastAsia="宋体" w:cs="Times New Roman"/>
                <w:szCs w:val="21"/>
              </w:rPr>
              <w:fldChar w:fldCharType="end"/>
            </w:r>
            <w:r>
              <w:rPr>
                <w:rFonts w:ascii="Times New Roman" w:hAnsi="Times New Roman" w:eastAsia="宋体" w:cs="Times New Roman"/>
                <w:szCs w:val="21"/>
              </w:rPr>
              <w:t>对职工要加强环保、安全生产教育，生产中积极采取</w:t>
            </w:r>
            <w:r>
              <w:rPr>
                <w:rFonts w:ascii="Times New Roman" w:hAnsi="宋体" w:eastAsia="宋体" w:cs="Times New Roman"/>
                <w:szCs w:val="21"/>
              </w:rPr>
              <w:t>防范措施，厂区内特别是易燃、可燃物品储存和使用场所严禁吸烟、禁火，在醒目处要设有禁烟、禁火的标志。</w:t>
            </w:r>
          </w:p>
          <w:p>
            <w:pPr>
              <w:rPr>
                <w:rFonts w:ascii="Times New Roman" w:hAnsi="Times New Roman" w:eastAsia="宋体" w:cs="Times New Roman"/>
                <w:szCs w:val="21"/>
              </w:rPr>
            </w:pPr>
            <w:r>
              <w:rPr>
                <w:rFonts w:ascii="Times New Roman" w:hAnsi="Times New Roman" w:eastAsia="宋体" w:cs="Times New Roman"/>
                <w:szCs w:val="21"/>
              </w:rPr>
              <w:fldChar w:fldCharType="begin"/>
            </w:r>
            <w:r>
              <w:rPr>
                <w:rFonts w:hint="eastAsia" w:ascii="Times New Roman" w:hAnsi="Times New Roman" w:eastAsia="宋体" w:cs="Times New Roman"/>
                <w:szCs w:val="21"/>
              </w:rPr>
              <w:instrText xml:space="preserve">eq \o\ac(○,</w:instrText>
            </w:r>
            <w:r>
              <w:rPr>
                <w:rFonts w:hint="eastAsia" w:ascii="Times New Roman" w:hAnsi="Times New Roman" w:eastAsia="宋体" w:cs="Times New Roman"/>
                <w:position w:val="3"/>
                <w:szCs w:val="21"/>
              </w:rPr>
              <w:instrText xml:space="preserve">2</w:instrText>
            </w:r>
            <w:r>
              <w:rPr>
                <w:rFonts w:hint="eastAsia" w:ascii="Times New Roman" w:hAnsi="Times New Roman" w:eastAsia="宋体" w:cs="Times New Roman"/>
                <w:szCs w:val="21"/>
              </w:rPr>
              <w:instrText xml:space="preserve">)</w:instrText>
            </w:r>
            <w:r>
              <w:rPr>
                <w:rFonts w:ascii="Times New Roman" w:hAnsi="Times New Roman" w:eastAsia="宋体" w:cs="Times New Roman"/>
                <w:szCs w:val="21"/>
              </w:rPr>
              <w:fldChar w:fldCharType="end"/>
            </w:r>
            <w:r>
              <w:rPr>
                <w:rFonts w:ascii="Times New Roman" w:hAnsi="宋体" w:eastAsia="宋体" w:cs="Times New Roman"/>
                <w:szCs w:val="21"/>
              </w:rPr>
              <w:t>加强设备维护，厂区应设置应急救援设施、应急疏散，道路布置满足消防、运输要求。</w:t>
            </w:r>
          </w:p>
          <w:p>
            <w:pPr>
              <w:jc w:val="left"/>
              <w:rPr>
                <w:rFonts w:ascii="Times New Roman" w:hAnsi="Times New Roman" w:eastAsia="宋体" w:cs="Times New Roman"/>
                <w:szCs w:val="21"/>
              </w:rPr>
            </w:pPr>
            <w:r>
              <w:rPr>
                <w:rFonts w:ascii="Times New Roman" w:hAnsi="Times New Roman" w:eastAsia="宋体" w:cs="Times New Roman"/>
                <w:szCs w:val="21"/>
              </w:rPr>
              <w:fldChar w:fldCharType="begin"/>
            </w:r>
            <w:r>
              <w:rPr>
                <w:rFonts w:hint="eastAsia" w:ascii="Times New Roman" w:hAnsi="Times New Roman" w:eastAsia="宋体" w:cs="Times New Roman"/>
                <w:szCs w:val="21"/>
              </w:rPr>
              <w:instrText xml:space="preserve">eq \o\ac(○,3)</w:instrText>
            </w:r>
            <w:r>
              <w:rPr>
                <w:rFonts w:ascii="Times New Roman" w:hAnsi="Times New Roman" w:eastAsia="宋体" w:cs="Times New Roman"/>
                <w:szCs w:val="21"/>
              </w:rPr>
              <w:fldChar w:fldCharType="end"/>
            </w:r>
            <w:r>
              <w:rPr>
                <w:rFonts w:ascii="Times New Roman" w:hAnsi="Times New Roman" w:eastAsia="宋体" w:cs="Times New Roman"/>
                <w:szCs w:val="21"/>
              </w:rPr>
              <w:t>厂区内配备消防、灭火器材等。根据《建筑设计防火规范》(GBJ16-87)的有关规定，配套建设室外消火栓、室内消火栓。各建筑物的室内消防，除按有关规定设置消火栓给水系统外，按《建筑灭火器配置设计规范》（GB50140-2005）的要求设置灭火器。</w:t>
            </w:r>
          </w:p>
          <w:p>
            <w:pPr>
              <w:rPr>
                <w:rFonts w:ascii="Times New Roman" w:hAnsi="Times New Roman" w:eastAsia="宋体" w:cs="Times New Roman"/>
                <w:szCs w:val="21"/>
              </w:rPr>
            </w:pPr>
            <w:r>
              <w:rPr>
                <w:rFonts w:ascii="Times New Roman" w:hAnsi="Times New Roman" w:eastAsia="宋体" w:cs="Times New Roman"/>
                <w:szCs w:val="21"/>
              </w:rPr>
              <w:fldChar w:fldCharType="begin"/>
            </w:r>
            <w:r>
              <w:rPr>
                <w:rFonts w:hint="eastAsia" w:ascii="Times New Roman" w:hAnsi="Times New Roman" w:eastAsia="宋体" w:cs="Times New Roman"/>
                <w:szCs w:val="21"/>
              </w:rPr>
              <w:instrText xml:space="preserve">eq \o\ac(○,4)</w:instrText>
            </w:r>
            <w:r>
              <w:rPr>
                <w:rFonts w:ascii="Times New Roman" w:hAnsi="Times New Roman" w:eastAsia="宋体" w:cs="Times New Roman"/>
                <w:szCs w:val="21"/>
              </w:rPr>
              <w:fldChar w:fldCharType="end"/>
            </w:r>
            <w:r>
              <w:rPr>
                <w:rFonts w:ascii="Times New Roman" w:hAnsi="Times New Roman" w:eastAsia="宋体" w:cs="Times New Roman"/>
                <w:szCs w:val="21"/>
              </w:rPr>
              <w:t>危废间按照《危险废物贮存污染控制标准》(GB18597-2001)的管理规定进行管理，企业内部应建立危险废物产生、外运、处置及最终去向的详细台账，按照《危险废物转移联单管理办法》的要求做好危险废物转移联单填报登记工作，危废必须坚持交由资质单位处理，如资质单位在处理能力不能满足的情况下，企业应提前积极寻找其他资质单位并签订协议，企业不得擅自处理或排放。</w:t>
            </w:r>
          </w:p>
          <w:p>
            <w:pPr>
              <w:rPr>
                <w:rFonts w:ascii="Times New Roman" w:hAnsi="Times New Roman" w:eastAsia="宋体" w:cs="Times New Roman"/>
                <w:szCs w:val="21"/>
              </w:rPr>
            </w:pPr>
            <w:r>
              <w:rPr>
                <w:rFonts w:ascii="Times New Roman" w:hAnsi="Times New Roman" w:eastAsia="宋体" w:cs="Times New Roman"/>
                <w:szCs w:val="21"/>
              </w:rPr>
              <w:fldChar w:fldCharType="begin"/>
            </w:r>
            <w:r>
              <w:rPr>
                <w:rFonts w:hint="eastAsia" w:ascii="Times New Roman" w:hAnsi="Times New Roman" w:eastAsia="宋体" w:cs="Times New Roman"/>
                <w:szCs w:val="21"/>
              </w:rPr>
              <w:instrText xml:space="preserve">eq \o\ac(○,5)</w:instrText>
            </w:r>
            <w:r>
              <w:rPr>
                <w:rFonts w:ascii="Times New Roman" w:hAnsi="Times New Roman" w:eastAsia="宋体" w:cs="Times New Roman"/>
                <w:szCs w:val="21"/>
              </w:rPr>
              <w:fldChar w:fldCharType="end"/>
            </w:r>
            <w:r>
              <w:rPr>
                <w:rFonts w:ascii="Times New Roman" w:hAnsi="Times New Roman" w:eastAsia="宋体" w:cs="Times New Roman"/>
                <w:szCs w:val="21"/>
              </w:rPr>
              <w:t>加强环保设施的维护管理，</w:t>
            </w:r>
            <w:r>
              <w:rPr>
                <w:rFonts w:hint="eastAsia" w:ascii="Times New Roman" w:hAnsi="Times New Roman" w:eastAsia="宋体" w:cs="Times New Roman"/>
                <w:szCs w:val="21"/>
                <w:lang w:eastAsia="zh-CN"/>
              </w:rPr>
              <w:t>污水处理系统</w:t>
            </w:r>
            <w:r>
              <w:rPr>
                <w:rFonts w:ascii="Times New Roman" w:hAnsi="Times New Roman" w:eastAsia="宋体" w:cs="Times New Roman"/>
                <w:szCs w:val="21"/>
              </w:rPr>
              <w:t>发生故障时应先停产，再检修。</w:t>
            </w:r>
          </w:p>
          <w:p>
            <w:pPr>
              <w:rPr>
                <w:rFonts w:ascii="Times New Roman" w:hAnsi="Times New Roman" w:eastAsia="宋体" w:cs="Times New Roman"/>
                <w:szCs w:val="21"/>
              </w:rPr>
            </w:pPr>
            <w:r>
              <w:rPr>
                <w:rFonts w:hint="eastAsia" w:ascii="Times New Roman" w:hAnsi="Times New Roman" w:eastAsia="宋体" w:cs="Times New Roman"/>
                <w:szCs w:val="21"/>
              </w:rPr>
              <w:t>编制应急预案并备案。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02" w:hRule="atLeast"/>
          <w:jc w:val="center"/>
        </w:trPr>
        <w:tc>
          <w:tcPr>
            <w:tcW w:w="1481" w:type="dxa"/>
            <w:vAlign w:val="center"/>
          </w:tcPr>
          <w:p>
            <w:pPr>
              <w:jc w:val="center"/>
              <w:rPr>
                <w:rFonts w:ascii="Times New Roman" w:hAnsi="Times New Roman" w:eastAsia="宋体" w:cs="Times New Roman"/>
                <w:spacing w:val="-8"/>
                <w:szCs w:val="21"/>
              </w:rPr>
            </w:pPr>
            <w:r>
              <w:rPr>
                <w:rFonts w:ascii="Times New Roman" w:hAnsi="宋体" w:eastAsia="宋体" w:cs="Times New Roman"/>
                <w:spacing w:val="-8"/>
                <w:szCs w:val="21"/>
              </w:rPr>
              <w:t>其他环境</w:t>
            </w:r>
          </w:p>
          <w:p>
            <w:pPr>
              <w:jc w:val="center"/>
              <w:rPr>
                <w:rFonts w:ascii="Times New Roman" w:hAnsi="Times New Roman" w:eastAsia="宋体" w:cs="Times New Roman"/>
                <w:spacing w:val="-8"/>
                <w:szCs w:val="21"/>
              </w:rPr>
            </w:pPr>
            <w:r>
              <w:rPr>
                <w:rFonts w:ascii="Times New Roman" w:hAnsi="宋体" w:eastAsia="宋体" w:cs="Times New Roman"/>
                <w:spacing w:val="-8"/>
                <w:szCs w:val="21"/>
              </w:rPr>
              <w:t>管理要求</w:t>
            </w:r>
          </w:p>
        </w:tc>
        <w:tc>
          <w:tcPr>
            <w:tcW w:w="7319" w:type="dxa"/>
            <w:gridSpan w:val="4"/>
            <w:vAlign w:val="center"/>
          </w:tcPr>
          <w:p>
            <w:pPr>
              <w:rPr>
                <w:rFonts w:ascii="Times New Roman" w:hAnsi="Times New Roman" w:eastAsia="宋体" w:cs="Times New Roman"/>
                <w:szCs w:val="21"/>
              </w:rPr>
            </w:pPr>
            <w:r>
              <w:rPr>
                <w:rFonts w:ascii="Times New Roman" w:hAnsi="Times New Roman" w:eastAsia="宋体" w:cs="Times New Roman"/>
                <w:szCs w:val="21"/>
              </w:rPr>
              <w:t>1</w:t>
            </w:r>
            <w:r>
              <w:rPr>
                <w:rFonts w:ascii="Times New Roman" w:hAnsi="宋体" w:eastAsia="宋体" w:cs="Times New Roman"/>
                <w:szCs w:val="21"/>
              </w:rPr>
              <w:t>、建设项目发生实际排污行为之前，排污单位应按照国家环境保护相关法律法规以及排污许可证申请与核发技术规范要求申请排污许可证，不得无证排污或不按证排污；</w:t>
            </w:r>
          </w:p>
          <w:p>
            <w:pPr>
              <w:rPr>
                <w:rFonts w:ascii="Times New Roman" w:hAnsi="宋体" w:eastAsia="宋体" w:cs="Times New Roman"/>
                <w:szCs w:val="21"/>
              </w:rPr>
            </w:pPr>
            <w:r>
              <w:rPr>
                <w:rFonts w:hint="eastAsia" w:ascii="Times New Roman" w:hAnsi="宋体" w:eastAsia="宋体" w:cs="Times New Roman"/>
                <w:szCs w:val="21"/>
              </w:rPr>
              <w:t>2、按要求进行分区防渗，危废间和污水处理系统为重点防渗区，生产车间、库房为一般防渗区，其他区域为简单防渗区。</w:t>
            </w:r>
          </w:p>
          <w:p>
            <w:pPr>
              <w:rPr>
                <w:rFonts w:ascii="Times New Roman" w:hAnsi="宋体" w:eastAsia="宋体" w:cs="Times New Roman"/>
                <w:szCs w:val="21"/>
              </w:rPr>
            </w:pPr>
            <w:r>
              <w:rPr>
                <w:rFonts w:hint="eastAsia" w:ascii="Times New Roman" w:hAnsi="宋体" w:eastAsia="宋体" w:cs="Times New Roman"/>
                <w:szCs w:val="21"/>
              </w:rPr>
              <w:t>3、编制应急预案并备案；</w:t>
            </w:r>
          </w:p>
          <w:p>
            <w:pPr>
              <w:rPr>
                <w:rFonts w:ascii="Times New Roman" w:hAnsi="宋体" w:eastAsia="宋体" w:cs="Times New Roman"/>
                <w:szCs w:val="21"/>
              </w:rPr>
            </w:pPr>
            <w:r>
              <w:rPr>
                <w:rFonts w:hint="eastAsia" w:ascii="Times New Roman" w:hAnsi="宋体" w:eastAsia="宋体" w:cs="Times New Roman"/>
                <w:szCs w:val="21"/>
              </w:rPr>
              <w:t>4、按环评要求进行自行监测。</w:t>
            </w:r>
          </w:p>
          <w:p>
            <w:pPr>
              <w:rPr>
                <w:rFonts w:ascii="Times New Roman" w:hAnsi="宋体" w:eastAsia="宋体" w:cs="Times New Roman"/>
                <w:szCs w:val="21"/>
              </w:rPr>
            </w:pPr>
            <w:r>
              <w:rPr>
                <w:rFonts w:hint="eastAsia" w:ascii="Times New Roman" w:hAnsi="宋体" w:eastAsia="宋体" w:cs="Times New Roman"/>
                <w:szCs w:val="21"/>
              </w:rPr>
              <w:t>5、按要求安装分表记电装置。</w:t>
            </w:r>
          </w:p>
          <w:p>
            <w:pPr>
              <w:rPr>
                <w:rFonts w:ascii="Times New Roman" w:hAnsi="宋体" w:eastAsia="宋体" w:cs="Times New Roman"/>
                <w:szCs w:val="21"/>
              </w:rPr>
            </w:pPr>
          </w:p>
          <w:p>
            <w:pPr>
              <w:rPr>
                <w:rFonts w:ascii="Times New Roman" w:hAnsi="宋体" w:eastAsia="宋体" w:cs="Times New Roman"/>
                <w:szCs w:val="21"/>
              </w:rPr>
            </w:pPr>
          </w:p>
          <w:p>
            <w:pPr>
              <w:rPr>
                <w:rFonts w:ascii="Times New Roman" w:hAnsi="宋体" w:eastAsia="宋体" w:cs="Times New Roman"/>
                <w:szCs w:val="21"/>
              </w:rPr>
            </w:pPr>
          </w:p>
          <w:p>
            <w:pPr>
              <w:rPr>
                <w:rFonts w:ascii="Times New Roman" w:hAnsi="宋体" w:eastAsia="宋体" w:cs="Times New Roman"/>
                <w:szCs w:val="21"/>
              </w:rPr>
            </w:pPr>
          </w:p>
          <w:p>
            <w:pPr>
              <w:rPr>
                <w:rFonts w:ascii="Times New Roman" w:hAnsi="宋体" w:eastAsia="宋体" w:cs="Times New Roman"/>
                <w:szCs w:val="21"/>
              </w:rPr>
            </w:pPr>
          </w:p>
          <w:p>
            <w:pPr>
              <w:rPr>
                <w:rFonts w:ascii="Times New Roman" w:hAnsi="宋体" w:eastAsia="宋体" w:cs="Times New Roman"/>
                <w:szCs w:val="21"/>
              </w:rPr>
            </w:pPr>
          </w:p>
          <w:p>
            <w:pPr>
              <w:rPr>
                <w:rFonts w:ascii="Times New Roman" w:hAnsi="宋体" w:eastAsia="宋体" w:cs="Times New Roman"/>
                <w:szCs w:val="21"/>
              </w:rPr>
            </w:pPr>
          </w:p>
          <w:p>
            <w:pPr>
              <w:rPr>
                <w:rFonts w:ascii="Times New Roman" w:hAnsi="宋体" w:eastAsia="宋体" w:cs="Times New Roman"/>
                <w:szCs w:val="21"/>
              </w:rPr>
            </w:pPr>
          </w:p>
          <w:p>
            <w:pPr>
              <w:rPr>
                <w:rFonts w:ascii="Times New Roman" w:hAnsi="宋体" w:eastAsia="宋体" w:cs="Times New Roman"/>
                <w:szCs w:val="21"/>
              </w:rPr>
            </w:pPr>
          </w:p>
          <w:p>
            <w:pPr>
              <w:rPr>
                <w:rFonts w:ascii="Times New Roman" w:hAnsi="宋体" w:eastAsia="宋体" w:cs="Times New Roman"/>
                <w:szCs w:val="21"/>
              </w:rPr>
            </w:pPr>
          </w:p>
          <w:p>
            <w:pPr>
              <w:rPr>
                <w:rFonts w:ascii="Times New Roman" w:hAnsi="宋体" w:eastAsia="宋体" w:cs="Times New Roman"/>
                <w:szCs w:val="21"/>
              </w:rPr>
            </w:pPr>
          </w:p>
          <w:p>
            <w:pPr>
              <w:rPr>
                <w:rFonts w:ascii="Times New Roman" w:hAnsi="宋体" w:eastAsia="宋体" w:cs="Times New Roman"/>
                <w:szCs w:val="21"/>
              </w:rPr>
            </w:pPr>
          </w:p>
          <w:p>
            <w:pPr>
              <w:rPr>
                <w:rFonts w:ascii="Times New Roman" w:hAnsi="宋体" w:eastAsia="宋体" w:cs="Times New Roman"/>
                <w:szCs w:val="21"/>
              </w:rPr>
            </w:pPr>
          </w:p>
          <w:p>
            <w:pPr>
              <w:rPr>
                <w:rFonts w:ascii="Times New Roman" w:hAnsi="宋体" w:eastAsia="宋体" w:cs="Times New Roman"/>
                <w:szCs w:val="21"/>
              </w:rPr>
            </w:pPr>
          </w:p>
          <w:p>
            <w:pPr>
              <w:rPr>
                <w:rFonts w:ascii="Times New Roman" w:hAnsi="宋体" w:eastAsia="宋体" w:cs="Times New Roman"/>
                <w:szCs w:val="21"/>
              </w:rPr>
            </w:pPr>
          </w:p>
          <w:p>
            <w:pPr>
              <w:rPr>
                <w:rFonts w:ascii="Times New Roman" w:hAnsi="宋体" w:eastAsia="宋体" w:cs="Times New Roman"/>
                <w:szCs w:val="21"/>
              </w:rPr>
            </w:pPr>
          </w:p>
          <w:p>
            <w:pPr>
              <w:rPr>
                <w:rFonts w:ascii="Times New Roman" w:hAnsi="宋体" w:eastAsia="宋体" w:cs="Times New Roman"/>
                <w:szCs w:val="21"/>
              </w:rPr>
            </w:pPr>
          </w:p>
          <w:p>
            <w:pPr>
              <w:rPr>
                <w:rFonts w:ascii="Times New Roman" w:hAnsi="宋体" w:eastAsia="宋体" w:cs="Times New Roman"/>
                <w:szCs w:val="21"/>
              </w:rPr>
            </w:pPr>
          </w:p>
          <w:p>
            <w:pPr>
              <w:rPr>
                <w:rFonts w:ascii="Times New Roman" w:hAnsi="宋体" w:eastAsia="宋体" w:cs="Times New Roman"/>
                <w:szCs w:val="21"/>
              </w:rPr>
            </w:pPr>
          </w:p>
          <w:p>
            <w:pPr>
              <w:rPr>
                <w:rFonts w:ascii="Times New Roman" w:hAnsi="宋体" w:eastAsia="宋体" w:cs="Times New Roman"/>
                <w:szCs w:val="21"/>
              </w:rPr>
            </w:pPr>
          </w:p>
          <w:p>
            <w:pPr>
              <w:rPr>
                <w:rFonts w:ascii="Times New Roman" w:hAnsi="宋体" w:eastAsia="宋体" w:cs="Times New Roman"/>
                <w:szCs w:val="21"/>
              </w:rPr>
            </w:pPr>
          </w:p>
          <w:p>
            <w:pPr>
              <w:rPr>
                <w:rFonts w:ascii="Times New Roman" w:hAnsi="宋体" w:eastAsia="宋体" w:cs="Times New Roman"/>
                <w:szCs w:val="21"/>
              </w:rPr>
            </w:pPr>
          </w:p>
          <w:p>
            <w:pPr>
              <w:rPr>
                <w:rFonts w:ascii="Times New Roman" w:hAnsi="宋体" w:eastAsia="宋体" w:cs="Times New Roman"/>
                <w:szCs w:val="21"/>
              </w:rPr>
            </w:pPr>
          </w:p>
          <w:p>
            <w:pPr>
              <w:rPr>
                <w:rFonts w:ascii="Times New Roman" w:hAnsi="宋体" w:eastAsia="宋体" w:cs="Times New Roman"/>
                <w:szCs w:val="21"/>
              </w:rPr>
            </w:pPr>
          </w:p>
          <w:p>
            <w:pPr>
              <w:rPr>
                <w:rFonts w:ascii="Times New Roman" w:hAnsi="Times New Roman" w:eastAsia="宋体" w:cs="Times New Roman"/>
                <w:szCs w:val="21"/>
              </w:rPr>
            </w:pPr>
          </w:p>
        </w:tc>
      </w:tr>
    </w:tbl>
    <w:p>
      <w:pPr>
        <w:widowControl/>
        <w:spacing w:before="100" w:beforeAutospacing="1" w:after="100" w:afterAutospacing="1"/>
        <w:jc w:val="center"/>
        <w:outlineLvl w:val="0"/>
        <w:rPr>
          <w:rFonts w:ascii="黑体" w:hAnsi="黑体" w:eastAsia="黑体" w:cs="Times New Roman"/>
          <w:snapToGrid w:val="0"/>
          <w:kern w:val="0"/>
          <w:sz w:val="30"/>
          <w:szCs w:val="30"/>
          <w:lang w:val="zh-CN"/>
        </w:rPr>
      </w:pPr>
      <w:r>
        <w:rPr>
          <w:rFonts w:ascii="宋体" w:hAnsi="宋体" w:eastAsia="宋体" w:cs="Times New Roman"/>
          <w:snapToGrid w:val="0"/>
          <w:kern w:val="0"/>
          <w:sz w:val="24"/>
          <w:szCs w:val="20"/>
          <w:lang w:val="zh-CN"/>
        </w:rPr>
        <w:br w:type="page"/>
      </w:r>
      <w:r>
        <w:rPr>
          <w:rFonts w:hint="eastAsia" w:ascii="黑体" w:hAnsi="黑体" w:eastAsia="黑体" w:cs="Times New Roman"/>
          <w:snapToGrid w:val="0"/>
          <w:kern w:val="0"/>
          <w:sz w:val="30"/>
          <w:szCs w:val="30"/>
          <w:lang w:val="zh-CN"/>
        </w:rPr>
        <w:t>六、结论</w:t>
      </w:r>
    </w:p>
    <w:tbl>
      <w:tblPr>
        <w:tblStyle w:val="1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tcPr>
          <w:tbl>
            <w:tblPr>
              <w:tblStyle w:val="18"/>
              <w:tblW w:w="0" w:type="auto"/>
              <w:tblInd w:w="0" w:type="dxa"/>
              <w:tblLayout w:type="fixed"/>
              <w:tblCellMar>
                <w:top w:w="0" w:type="dxa"/>
                <w:left w:w="108" w:type="dxa"/>
                <w:bottom w:w="0" w:type="dxa"/>
                <w:right w:w="108" w:type="dxa"/>
              </w:tblCellMar>
            </w:tblPr>
            <w:tblGrid>
              <w:gridCol w:w="8761"/>
            </w:tblGrid>
            <w:tr>
              <w:tblPrEx>
                <w:tblCellMar>
                  <w:top w:w="0" w:type="dxa"/>
                  <w:left w:w="108" w:type="dxa"/>
                  <w:bottom w:w="0" w:type="dxa"/>
                  <w:right w:w="108" w:type="dxa"/>
                </w:tblCellMar>
              </w:tblPrEx>
              <w:trPr>
                <w:trHeight w:val="5008" w:hRule="atLeast"/>
              </w:trPr>
              <w:tc>
                <w:tcPr>
                  <w:tcW w:w="8761" w:type="dxa"/>
                </w:tcPr>
                <w:p>
                  <w:pPr>
                    <w:spacing w:line="360" w:lineRule="auto"/>
                    <w:ind w:firstLine="420" w:firstLineChars="200"/>
                    <w:rPr>
                      <w:rFonts w:ascii="Times New Roman" w:hAnsi="Times New Roman" w:eastAsia="宋体" w:cs="Times New Roman"/>
                      <w:szCs w:val="21"/>
                    </w:rPr>
                  </w:pPr>
                  <w:r>
                    <w:rPr>
                      <w:rFonts w:ascii="Times New Roman" w:hAnsi="Times New Roman" w:eastAsia="宋体" w:cs="Times New Roman"/>
                      <w:szCs w:val="21"/>
                    </w:rPr>
                    <w:t>1</w:t>
                  </w:r>
                  <w:r>
                    <w:rPr>
                      <w:rFonts w:hint="eastAsia" w:ascii="Times New Roman" w:hAnsi="Times New Roman" w:eastAsia="宋体" w:cs="Times New Roman"/>
                      <w:szCs w:val="21"/>
                    </w:rPr>
                    <w:t>、项目概况</w:t>
                  </w:r>
                  <w:r>
                    <w:rPr>
                      <w:rFonts w:ascii="Times New Roman" w:hAnsi="Times New Roman" w:eastAsia="宋体" w:cs="Times New Roman"/>
                      <w:szCs w:val="21"/>
                    </w:rPr>
                    <w:t xml:space="preserve"> </w:t>
                  </w:r>
                </w:p>
                <w:p>
                  <w:pPr>
                    <w:adjustRightInd w:val="0"/>
                    <w:snapToGrid w:val="0"/>
                    <w:spacing w:line="360" w:lineRule="auto"/>
                    <w:ind w:firstLine="420" w:firstLineChars="200"/>
                    <w:jc w:val="left"/>
                    <w:rPr>
                      <w:rFonts w:ascii="Times New Roman" w:hAnsi="宋体" w:eastAsia="宋体" w:cs="Times New Roman"/>
                      <w:bCs/>
                      <w:szCs w:val="21"/>
                    </w:rPr>
                  </w:pPr>
                  <w:r>
                    <w:rPr>
                      <w:rFonts w:hint="eastAsia" w:ascii="宋体" w:hAnsi="宋体" w:eastAsia="宋体" w:cs="宋体"/>
                      <w:kern w:val="0"/>
                      <w:szCs w:val="21"/>
                    </w:rPr>
                    <w:t>本项目位于</w:t>
                  </w:r>
                  <w:r>
                    <w:rPr>
                      <w:rFonts w:hint="eastAsia" w:ascii="Times New Roman" w:hAnsi="Times New Roman" w:eastAsia="宋体" w:cs="Times New Roman"/>
                      <w:snapToGrid w:val="0"/>
                      <w:kern w:val="0"/>
                      <w:szCs w:val="25"/>
                    </w:rPr>
                    <w:t>河北省秦皇岛市抚宁区留守营镇毛家营村</w:t>
                  </w:r>
                  <w:r>
                    <w:rPr>
                      <w:rFonts w:hint="eastAsia" w:ascii="Times New Roman" w:hAnsi="Times New Roman" w:eastAsia="宋体" w:cs="Times New Roman"/>
                      <w:szCs w:val="21"/>
                    </w:rPr>
                    <w:t>，中心坐标为东经</w:t>
                  </w:r>
                  <w:r>
                    <w:rPr>
                      <w:rFonts w:ascii="Times New Roman" w:hAnsi="Times New Roman" w:eastAsia="宋体" w:cs="Times New Roman"/>
                      <w:szCs w:val="21"/>
                    </w:rPr>
                    <w:t>11</w:t>
                  </w:r>
                  <w:r>
                    <w:rPr>
                      <w:rFonts w:hint="eastAsia" w:ascii="Times New Roman" w:hAnsi="Times New Roman" w:eastAsia="宋体" w:cs="Times New Roman"/>
                      <w:szCs w:val="21"/>
                    </w:rPr>
                    <w:t>9</w:t>
                  </w:r>
                  <w:r>
                    <w:rPr>
                      <w:rFonts w:ascii="Times New Roman" w:hAnsi="Times New Roman" w:eastAsia="宋体" w:cs="Times New Roman"/>
                      <w:szCs w:val="21"/>
                    </w:rPr>
                    <w:t xml:space="preserve"> </w:t>
                  </w:r>
                  <w:r>
                    <w:rPr>
                      <w:rFonts w:ascii="Times New Roman" w:hAnsi="宋体" w:eastAsia="宋体" w:cs="Times New Roman"/>
                      <w:szCs w:val="21"/>
                    </w:rPr>
                    <w:t>度</w:t>
                  </w:r>
                  <w:r>
                    <w:rPr>
                      <w:rFonts w:hint="eastAsia" w:ascii="Times New Roman" w:hAnsi="Times New Roman" w:eastAsia="宋体" w:cs="Times New Roman"/>
                      <w:szCs w:val="21"/>
                    </w:rPr>
                    <w:t>19</w:t>
                  </w:r>
                  <w:r>
                    <w:rPr>
                      <w:rFonts w:ascii="Times New Roman" w:hAnsi="Times New Roman" w:eastAsia="宋体" w:cs="Times New Roman"/>
                      <w:szCs w:val="21"/>
                    </w:rPr>
                    <w:t xml:space="preserve"> </w:t>
                  </w:r>
                  <w:r>
                    <w:rPr>
                      <w:rFonts w:ascii="Times New Roman" w:hAnsi="宋体" w:eastAsia="宋体" w:cs="Times New Roman"/>
                      <w:szCs w:val="21"/>
                    </w:rPr>
                    <w:t>分</w:t>
                  </w:r>
                  <w:r>
                    <w:rPr>
                      <w:rFonts w:hint="eastAsia" w:ascii="Times New Roman" w:hAnsi="Times New Roman" w:eastAsia="宋体" w:cs="Times New Roman"/>
                      <w:szCs w:val="21"/>
                    </w:rPr>
                    <w:t>8.358</w:t>
                  </w:r>
                  <w:r>
                    <w:rPr>
                      <w:rFonts w:ascii="Times New Roman" w:hAnsi="宋体" w:eastAsia="宋体" w:cs="Times New Roman"/>
                      <w:szCs w:val="21"/>
                    </w:rPr>
                    <w:t>秒，</w:t>
                  </w:r>
                  <w:r>
                    <w:rPr>
                      <w:rFonts w:ascii="Times New Roman" w:hAnsi="Times New Roman" w:eastAsia="宋体" w:cs="Times New Roman"/>
                      <w:szCs w:val="21"/>
                    </w:rPr>
                    <w:t>39</w:t>
                  </w:r>
                  <w:r>
                    <w:rPr>
                      <w:rFonts w:ascii="Times New Roman" w:hAnsi="宋体" w:eastAsia="宋体" w:cs="Times New Roman"/>
                      <w:szCs w:val="21"/>
                    </w:rPr>
                    <w:t>度</w:t>
                  </w:r>
                  <w:r>
                    <w:rPr>
                      <w:rFonts w:hint="eastAsia" w:ascii="Times New Roman" w:hAnsi="Times New Roman" w:eastAsia="宋体" w:cs="Times New Roman"/>
                      <w:szCs w:val="21"/>
                    </w:rPr>
                    <w:t>47</w:t>
                  </w:r>
                  <w:r>
                    <w:rPr>
                      <w:rFonts w:ascii="Times New Roman" w:hAnsi="宋体" w:eastAsia="宋体" w:cs="Times New Roman"/>
                      <w:szCs w:val="21"/>
                    </w:rPr>
                    <w:t>分</w:t>
                  </w:r>
                  <w:r>
                    <w:rPr>
                      <w:rFonts w:hint="eastAsia" w:ascii="Times New Roman" w:hAnsi="Times New Roman" w:eastAsia="宋体" w:cs="Times New Roman"/>
                      <w:szCs w:val="21"/>
                    </w:rPr>
                    <w:t>47.648</w:t>
                  </w:r>
                  <w:r>
                    <w:rPr>
                      <w:rFonts w:ascii="Times New Roman" w:hAnsi="宋体" w:eastAsia="宋体" w:cs="Times New Roman"/>
                      <w:szCs w:val="21"/>
                    </w:rPr>
                    <w:t>秒</w:t>
                  </w:r>
                  <w:r>
                    <w:rPr>
                      <w:rFonts w:hint="eastAsia" w:ascii="Times New Roman" w:hAnsi="Times New Roman" w:eastAsia="宋体" w:cs="Times New Roman"/>
                      <w:szCs w:val="21"/>
                    </w:rPr>
                    <w:t>。</w:t>
                  </w:r>
                  <w:r>
                    <w:rPr>
                      <w:rFonts w:hint="eastAsia" w:ascii="Times New Roman" w:hAnsi="宋体" w:eastAsia="宋体" w:cs="Times New Roman"/>
                      <w:bCs/>
                      <w:szCs w:val="21"/>
                    </w:rPr>
                    <w:t>租用抚宁区留守营镇毛家营村村民委员会渤海大修厂，面积7150.74平方米。新建一座490㎡厂房，新建三条回收破碎加工生活及食品类塑料生产线，年加工</w:t>
                  </w:r>
                  <w:r>
                    <w:rPr>
                      <w:rFonts w:hint="eastAsia" w:ascii="Times New Roman" w:hAnsi="宋体" w:eastAsia="宋体" w:cs="Times New Roman"/>
                      <w:bCs/>
                      <w:szCs w:val="21"/>
                      <w:lang w:eastAsia="zh-CN"/>
                    </w:rPr>
                    <w:t>废</w:t>
                  </w:r>
                  <w:r>
                    <w:rPr>
                      <w:rFonts w:hint="eastAsia" w:ascii="Times New Roman" w:hAnsi="宋体" w:eastAsia="宋体" w:cs="Times New Roman"/>
                      <w:bCs/>
                      <w:szCs w:val="21"/>
                    </w:rPr>
                    <w:t>塑料30000吨。生产设备：购置粉碎机、传送带、扒瓶机、甩干机、筛分槽、打包机、水处理等设备若干台。</w:t>
                  </w:r>
                </w:p>
                <w:p>
                  <w:pPr>
                    <w:spacing w:line="360" w:lineRule="auto"/>
                    <w:ind w:firstLine="420" w:firstLineChars="200"/>
                    <w:rPr>
                      <w:rFonts w:ascii="Times New Roman" w:hAnsi="Times New Roman" w:eastAsia="宋体" w:cs="Times New Roman"/>
                      <w:szCs w:val="21"/>
                    </w:rPr>
                  </w:pPr>
                  <w:r>
                    <w:rPr>
                      <w:rFonts w:ascii="Times New Roman" w:hAnsi="Times New Roman" w:eastAsia="宋体" w:cs="Times New Roman"/>
                      <w:szCs w:val="21"/>
                    </w:rPr>
                    <w:t xml:space="preserve">2 </w:t>
                  </w:r>
                  <w:r>
                    <w:rPr>
                      <w:rFonts w:hint="eastAsia" w:ascii="Times New Roman" w:hAnsi="Times New Roman" w:eastAsia="宋体" w:cs="Times New Roman"/>
                      <w:szCs w:val="21"/>
                    </w:rPr>
                    <w:t>、产业符合性分析结论</w:t>
                  </w:r>
                  <w:r>
                    <w:rPr>
                      <w:rFonts w:ascii="Times New Roman" w:hAnsi="Times New Roman" w:eastAsia="宋体" w:cs="Times New Roman"/>
                      <w:szCs w:val="21"/>
                    </w:rPr>
                    <w:t xml:space="preserve"> </w:t>
                  </w:r>
                </w:p>
                <w:p>
                  <w:pPr>
                    <w:adjustRightInd w:val="0"/>
                    <w:snapToGrid w:val="0"/>
                    <w:spacing w:line="360" w:lineRule="auto"/>
                    <w:ind w:firstLine="420" w:firstLineChars="200"/>
                    <w:rPr>
                      <w:rFonts w:ascii="Times New Roman" w:hAnsi="Times New Roman" w:eastAsia="宋体" w:cs="Times New Roman"/>
                      <w:snapToGrid w:val="0"/>
                      <w:kern w:val="0"/>
                      <w:szCs w:val="25"/>
                    </w:rPr>
                  </w:pPr>
                  <w:r>
                    <w:rPr>
                      <w:rFonts w:hint="eastAsia" w:ascii="Times New Roman" w:hAnsi="Times New Roman" w:eastAsia="宋体" w:cs="Times New Roman"/>
                      <w:szCs w:val="24"/>
                    </w:rPr>
                    <w:t>（</w:t>
                  </w:r>
                  <w:r>
                    <w:rPr>
                      <w:rFonts w:hint="eastAsia" w:ascii="Times New Roman" w:hAnsi="Times New Roman" w:eastAsia="宋体" w:cs="Times New Roman"/>
                      <w:snapToGrid w:val="0"/>
                      <w:kern w:val="0"/>
                      <w:szCs w:val="25"/>
                    </w:rPr>
                    <w:t>1）</w:t>
                  </w:r>
                  <w:r>
                    <w:rPr>
                      <w:rFonts w:ascii="Times New Roman" w:hAnsi="Times New Roman" w:eastAsia="宋体" w:cs="Times New Roman"/>
                      <w:snapToGrid w:val="0"/>
                      <w:kern w:val="0"/>
                      <w:szCs w:val="25"/>
                    </w:rPr>
                    <w:t>《产业结构调整</w:t>
                  </w:r>
                  <w:r>
                    <w:rPr>
                      <w:rFonts w:hint="eastAsia" w:ascii="Times New Roman" w:hAnsi="Times New Roman" w:eastAsia="宋体" w:cs="Times New Roman"/>
                      <w:snapToGrid w:val="0"/>
                      <w:kern w:val="0"/>
                      <w:szCs w:val="25"/>
                    </w:rPr>
                    <w:t>指导</w:t>
                  </w:r>
                  <w:r>
                    <w:rPr>
                      <w:rFonts w:ascii="Times New Roman" w:hAnsi="Times New Roman" w:eastAsia="宋体" w:cs="Times New Roman"/>
                      <w:snapToGrid w:val="0"/>
                      <w:kern w:val="0"/>
                      <w:szCs w:val="25"/>
                    </w:rPr>
                    <w:t>目录（201</w:t>
                  </w:r>
                  <w:r>
                    <w:rPr>
                      <w:rFonts w:hint="eastAsia" w:ascii="Times New Roman" w:hAnsi="Times New Roman" w:eastAsia="宋体" w:cs="Times New Roman"/>
                      <w:snapToGrid w:val="0"/>
                      <w:kern w:val="0"/>
                      <w:szCs w:val="25"/>
                    </w:rPr>
                    <w:t>9</w:t>
                  </w:r>
                  <w:r>
                    <w:rPr>
                      <w:rFonts w:ascii="Times New Roman" w:hAnsi="Times New Roman" w:eastAsia="宋体" w:cs="Times New Roman"/>
                      <w:snapToGrid w:val="0"/>
                      <w:kern w:val="0"/>
                      <w:szCs w:val="25"/>
                    </w:rPr>
                    <w:t>年本）》</w:t>
                  </w:r>
                  <w:r>
                    <w:rPr>
                      <w:rFonts w:hint="eastAsia" w:ascii="Times New Roman" w:hAnsi="Times New Roman" w:eastAsia="宋体" w:cs="Times New Roman"/>
                      <w:snapToGrid w:val="0"/>
                      <w:kern w:val="0"/>
                      <w:szCs w:val="25"/>
                    </w:rPr>
                    <w:t>的</w:t>
                  </w:r>
                  <w:r>
                    <w:rPr>
                      <w:rFonts w:ascii="Times New Roman" w:hAnsi="Times New Roman" w:eastAsia="宋体" w:cs="Times New Roman"/>
                      <w:snapToGrid w:val="0"/>
                      <w:kern w:val="0"/>
                      <w:szCs w:val="25"/>
                    </w:rPr>
                    <w:t>符合性</w:t>
                  </w:r>
                </w:p>
                <w:p>
                  <w:pPr>
                    <w:adjustRightInd w:val="0"/>
                    <w:snapToGrid w:val="0"/>
                    <w:spacing w:line="360" w:lineRule="auto"/>
                    <w:ind w:firstLine="420" w:firstLineChars="200"/>
                    <w:rPr>
                      <w:rFonts w:ascii="Times New Roman" w:hAnsi="Times New Roman" w:eastAsia="宋体" w:cs="Times New Roman"/>
                      <w:snapToGrid w:val="0"/>
                      <w:kern w:val="0"/>
                      <w:szCs w:val="25"/>
                    </w:rPr>
                  </w:pPr>
                  <w:r>
                    <w:rPr>
                      <w:rFonts w:hint="eastAsia" w:ascii="Times New Roman" w:hAnsi="Times New Roman" w:eastAsia="宋体" w:cs="Times New Roman"/>
                      <w:snapToGrid w:val="0"/>
                      <w:kern w:val="0"/>
                      <w:szCs w:val="25"/>
                    </w:rPr>
                    <w:t>本项目所用原料、生产工艺、生产设备及产品均不</w:t>
                  </w:r>
                  <w:r>
                    <w:rPr>
                      <w:rFonts w:ascii="Times New Roman" w:hAnsi="Times New Roman" w:eastAsia="宋体" w:cs="Times New Roman"/>
                      <w:snapToGrid w:val="0"/>
                      <w:kern w:val="0"/>
                      <w:szCs w:val="25"/>
                    </w:rPr>
                    <w:t>属于《产业结构调整目录（201</w:t>
                  </w:r>
                  <w:r>
                    <w:rPr>
                      <w:rFonts w:hint="eastAsia" w:ascii="Times New Roman" w:hAnsi="Times New Roman" w:eastAsia="宋体" w:cs="Times New Roman"/>
                      <w:snapToGrid w:val="0"/>
                      <w:kern w:val="0"/>
                      <w:szCs w:val="25"/>
                    </w:rPr>
                    <w:t>9</w:t>
                  </w:r>
                  <w:r>
                    <w:rPr>
                      <w:rFonts w:ascii="Times New Roman" w:hAnsi="Times New Roman" w:eastAsia="宋体" w:cs="Times New Roman"/>
                      <w:snapToGrid w:val="0"/>
                      <w:kern w:val="0"/>
                      <w:szCs w:val="25"/>
                    </w:rPr>
                    <w:t>年本）》</w:t>
                  </w:r>
                  <w:r>
                    <w:rPr>
                      <w:rFonts w:hint="eastAsia" w:ascii="Times New Roman" w:hAnsi="Times New Roman" w:eastAsia="宋体" w:cs="Times New Roman"/>
                      <w:snapToGrid w:val="0"/>
                      <w:kern w:val="0"/>
                      <w:szCs w:val="25"/>
                    </w:rPr>
                    <w:t>限制类、淘汰类内容，</w:t>
                  </w:r>
                  <w:r>
                    <w:rPr>
                      <w:rFonts w:ascii="Times New Roman" w:hAnsi="Times New Roman" w:eastAsia="宋体" w:cs="Times New Roman"/>
                      <w:snapToGrid w:val="0"/>
                      <w:kern w:val="0"/>
                      <w:szCs w:val="25"/>
                    </w:rPr>
                    <w:t>属于国家鼓励类产业“第</w:t>
                  </w:r>
                  <w:r>
                    <w:rPr>
                      <w:rFonts w:hint="eastAsia" w:ascii="Times New Roman" w:hAnsi="Times New Roman" w:eastAsia="宋体" w:cs="Times New Roman"/>
                      <w:snapToGrid w:val="0"/>
                      <w:kern w:val="0"/>
                      <w:szCs w:val="25"/>
                    </w:rPr>
                    <w:t>四十三</w:t>
                  </w:r>
                  <w:r>
                    <w:rPr>
                      <w:rFonts w:ascii="Times New Roman" w:hAnsi="Times New Roman" w:eastAsia="宋体" w:cs="Times New Roman"/>
                      <w:snapToGrid w:val="0"/>
                      <w:kern w:val="0"/>
                      <w:szCs w:val="25"/>
                    </w:rPr>
                    <w:t>项环境保护与资源节约综合利用第2</w:t>
                  </w:r>
                  <w:r>
                    <w:rPr>
                      <w:rFonts w:hint="eastAsia" w:ascii="Times New Roman" w:hAnsi="Times New Roman" w:eastAsia="宋体" w:cs="Times New Roman"/>
                      <w:snapToGrid w:val="0"/>
                      <w:kern w:val="0"/>
                      <w:szCs w:val="25"/>
                    </w:rPr>
                    <w:t>7</w:t>
                  </w:r>
                  <w:r>
                    <w:rPr>
                      <w:rFonts w:ascii="Times New Roman" w:hAnsi="Times New Roman" w:eastAsia="宋体" w:cs="Times New Roman"/>
                      <w:snapToGrid w:val="0"/>
                      <w:kern w:val="0"/>
                      <w:szCs w:val="25"/>
                    </w:rPr>
                    <w:t>类-</w:t>
                  </w:r>
                  <w:r>
                    <w:rPr>
                      <w:rFonts w:hint="eastAsia" w:ascii="Times New Roman" w:hAnsi="Times New Roman" w:eastAsia="宋体" w:cs="Times New Roman"/>
                      <w:snapToGrid w:val="0"/>
                      <w:kern w:val="0"/>
                      <w:szCs w:val="25"/>
                    </w:rPr>
                    <w:t>废旧木材、废旧电器电子产品、废印刷电路板、废旧电池、废旧船舶、废旧农机、废塑料、废旧纺织品及纺织废料和边角料、废（碎）玻璃、废橡胶、废弃油脂等废旧物资等资源循环再利用技术、设备开发及应用”</w:t>
                  </w:r>
                  <w:r>
                    <w:rPr>
                      <w:rFonts w:ascii="Times New Roman" w:hAnsi="Times New Roman" w:eastAsia="宋体" w:cs="Times New Roman"/>
                      <w:snapToGrid w:val="0"/>
                      <w:kern w:val="0"/>
                      <w:szCs w:val="25"/>
                    </w:rPr>
                    <w:t xml:space="preserve">。 </w:t>
                  </w:r>
                </w:p>
                <w:p>
                  <w:pPr>
                    <w:adjustRightInd w:val="0"/>
                    <w:snapToGrid w:val="0"/>
                    <w:spacing w:line="360" w:lineRule="auto"/>
                    <w:ind w:firstLine="420" w:firstLineChars="200"/>
                    <w:rPr>
                      <w:rFonts w:ascii="Times New Roman" w:hAnsi="Times New Roman" w:eastAsia="宋体" w:cs="Times New Roman"/>
                      <w:snapToGrid w:val="0"/>
                      <w:kern w:val="0"/>
                      <w:szCs w:val="25"/>
                    </w:rPr>
                  </w:pPr>
                  <w:r>
                    <w:rPr>
                      <w:rFonts w:hint="eastAsia" w:ascii="Times New Roman" w:hAnsi="Times New Roman" w:eastAsia="宋体" w:cs="Times New Roman"/>
                      <w:snapToGrid w:val="0"/>
                      <w:kern w:val="0"/>
                      <w:szCs w:val="25"/>
                    </w:rPr>
                    <w:t>（2）本项目不属于《河北省新增限制和淘汰类产业目录》（2015版）、《秦皇岛市限制和禁止投资的产业目录》（2020年修订版）限制和禁止类。</w:t>
                  </w:r>
                </w:p>
                <w:p>
                  <w:pPr>
                    <w:adjustRightInd w:val="0"/>
                    <w:snapToGrid w:val="0"/>
                    <w:spacing w:line="360" w:lineRule="auto"/>
                    <w:ind w:firstLine="420" w:firstLineChars="200"/>
                    <w:rPr>
                      <w:rFonts w:ascii="Times New Roman" w:hAnsi="Times New Roman" w:eastAsia="宋体" w:cs="Times New Roman"/>
                      <w:snapToGrid w:val="0"/>
                      <w:kern w:val="0"/>
                      <w:szCs w:val="25"/>
                    </w:rPr>
                  </w:pPr>
                  <w:r>
                    <w:rPr>
                      <w:rFonts w:ascii="Times New Roman" w:hAnsi="Times New Roman" w:eastAsia="宋体" w:cs="Times New Roman"/>
                      <w:snapToGrid w:val="0"/>
                      <w:kern w:val="0"/>
                      <w:szCs w:val="25"/>
                    </w:rPr>
                    <w:t>（3）</w:t>
                  </w:r>
                  <w:r>
                    <w:rPr>
                      <w:rFonts w:ascii="Times New Roman" w:hAnsi="Times New Roman" w:eastAsia="宋体" w:cs="Times New Roman"/>
                      <w:szCs w:val="21"/>
                    </w:rPr>
                    <w:t>本项目已在抚宁区行政审批局备案，备案文号为抚行审备〔2022〕</w:t>
                  </w:r>
                  <w:r>
                    <w:rPr>
                      <w:rFonts w:hint="eastAsia" w:ascii="Times New Roman" w:hAnsi="Times New Roman" w:eastAsia="宋体" w:cs="Times New Roman"/>
                      <w:szCs w:val="21"/>
                    </w:rPr>
                    <w:t>80</w:t>
                  </w:r>
                  <w:r>
                    <w:rPr>
                      <w:rFonts w:ascii="Times New Roman" w:hAnsi="Times New Roman" w:eastAsia="宋体" w:cs="Times New Roman"/>
                      <w:szCs w:val="21"/>
                    </w:rPr>
                    <w:t>号。</w:t>
                  </w:r>
                </w:p>
                <w:p>
                  <w:pPr>
                    <w:spacing w:line="360" w:lineRule="auto"/>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项目建设符合当前国家产业政策要求。</w:t>
                  </w:r>
                  <w:r>
                    <w:rPr>
                      <w:rFonts w:ascii="Times New Roman" w:hAnsi="Times New Roman" w:eastAsia="宋体" w:cs="Times New Roman"/>
                      <w:szCs w:val="21"/>
                    </w:rPr>
                    <w:t xml:space="preserve"> </w:t>
                  </w:r>
                </w:p>
                <w:p>
                  <w:pPr>
                    <w:spacing w:line="360" w:lineRule="auto"/>
                    <w:ind w:firstLine="420" w:firstLineChars="200"/>
                    <w:rPr>
                      <w:rFonts w:ascii="Times New Roman" w:hAnsi="Times New Roman" w:eastAsia="宋体" w:cs="Times New Roman"/>
                      <w:szCs w:val="21"/>
                    </w:rPr>
                  </w:pPr>
                  <w:r>
                    <w:rPr>
                      <w:rFonts w:ascii="Times New Roman" w:hAnsi="Times New Roman" w:eastAsia="宋体" w:cs="Times New Roman"/>
                      <w:szCs w:val="21"/>
                    </w:rPr>
                    <w:t>3</w:t>
                  </w:r>
                  <w:r>
                    <w:rPr>
                      <w:rFonts w:hint="eastAsia" w:ascii="Times New Roman" w:hAnsi="Times New Roman" w:eastAsia="宋体" w:cs="Times New Roman"/>
                      <w:szCs w:val="21"/>
                    </w:rPr>
                    <w:t>、环境影响和保护措施结论</w:t>
                  </w:r>
                  <w:r>
                    <w:rPr>
                      <w:rFonts w:ascii="Times New Roman" w:hAnsi="Times New Roman" w:eastAsia="宋体" w:cs="Times New Roman"/>
                      <w:szCs w:val="21"/>
                    </w:rPr>
                    <w:t xml:space="preserve"> </w:t>
                  </w:r>
                </w:p>
                <w:p>
                  <w:pPr>
                    <w:spacing w:line="360" w:lineRule="auto"/>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w:t>
                  </w:r>
                  <w:r>
                    <w:rPr>
                      <w:rFonts w:ascii="Times New Roman" w:hAnsi="Times New Roman" w:eastAsia="宋体" w:cs="Times New Roman"/>
                      <w:szCs w:val="21"/>
                    </w:rPr>
                    <w:t>1</w:t>
                  </w:r>
                  <w:r>
                    <w:rPr>
                      <w:rFonts w:hint="eastAsia" w:ascii="Times New Roman" w:hAnsi="Times New Roman" w:eastAsia="宋体" w:cs="Times New Roman"/>
                      <w:szCs w:val="21"/>
                    </w:rPr>
                    <w:t>）大气环境影响分析</w:t>
                  </w:r>
                </w:p>
                <w:p>
                  <w:pPr>
                    <w:spacing w:line="360" w:lineRule="auto"/>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本项目主要为污水处理设施运行过程产生的臭气，经定期喷洒生物除臭剂后，对周边大气环境影响较小</w:t>
                  </w:r>
                  <w:r>
                    <w:rPr>
                      <w:rFonts w:hint="eastAsia" w:ascii="Times New Roman" w:hAnsi="Times New Roman" w:eastAsia="宋体" w:cs="Times New Roman"/>
                      <w:kern w:val="24"/>
                      <w:szCs w:val="21"/>
                    </w:rPr>
                    <w:t>。</w:t>
                  </w:r>
                </w:p>
              </w:tc>
            </w:tr>
          </w:tbl>
          <w:p>
            <w:pPr>
              <w:spacing w:line="360" w:lineRule="auto"/>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（2）水环境影响分析</w:t>
            </w:r>
          </w:p>
          <w:p>
            <w:pPr>
              <w:spacing w:line="360" w:lineRule="auto"/>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本项目主要破碎、甩干以及筛分废水排入污水处理系统处理后回用于生产，厕所为防渗旱厕，定期清掏用作农肥，本项目无生产、生活废水外排，不会对周围水环境产生明显影响。</w:t>
            </w:r>
          </w:p>
          <w:p>
            <w:pPr>
              <w:spacing w:line="360" w:lineRule="auto"/>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（3）声环境影响分析</w:t>
            </w:r>
          </w:p>
          <w:p>
            <w:pPr>
              <w:spacing w:line="360" w:lineRule="auto"/>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各产噪设备采取一定的降噪措施后，再经距离衰减，项目厂界噪声排放可达到《工业企业厂界环境噪声排放标准》（GB12348-2008）2类、4类标准要求，敏感点噪声可满足</w:t>
            </w:r>
            <w:r>
              <w:rPr>
                <w:rFonts w:hint="eastAsia" w:ascii="Times New Roman" w:hAnsi="Times New Roman" w:eastAsia="宋体" w:cs="Times New Roman"/>
                <w:kern w:val="24"/>
                <w:szCs w:val="21"/>
              </w:rPr>
              <w:t>《声环境质量标准》（GB3096—2008）中1类标准要求，</w:t>
            </w:r>
            <w:r>
              <w:rPr>
                <w:rFonts w:hint="eastAsia" w:ascii="Times New Roman" w:hAnsi="Times New Roman" w:eastAsia="宋体" w:cs="Times New Roman"/>
                <w:szCs w:val="21"/>
              </w:rPr>
              <w:t>对周围声环境影响较小。</w:t>
            </w:r>
          </w:p>
          <w:p>
            <w:pPr>
              <w:spacing w:line="360" w:lineRule="auto"/>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（4）固体废物影响分析</w:t>
            </w:r>
          </w:p>
          <w:p>
            <w:pPr>
              <w:spacing w:line="360" w:lineRule="auto"/>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本项目主要的固废为废机油、废机油桶、</w:t>
            </w:r>
            <w:r>
              <w:rPr>
                <w:rFonts w:hint="eastAsia" w:ascii="Times New Roman" w:hAnsi="Times New Roman" w:eastAsia="宋体" w:cs="Times New Roman"/>
                <w:kern w:val="24"/>
                <w:szCs w:val="21"/>
              </w:rPr>
              <w:t>絮凝沉淀物、废包装袋、植物油渣、其他材质的瓶子</w:t>
            </w:r>
            <w:r>
              <w:rPr>
                <w:rFonts w:hint="eastAsia" w:ascii="Times New Roman" w:hAnsi="Times New Roman" w:eastAsia="宋体" w:cs="Times New Roman"/>
                <w:szCs w:val="21"/>
              </w:rPr>
              <w:t>以及生活垃圾。废机油、废机油桶、暂存在危废间，定期由资质单位进行处置。</w:t>
            </w:r>
            <w:r>
              <w:rPr>
                <w:rFonts w:hint="eastAsia" w:ascii="宋体" w:hAnsi="Times New Roman" w:eastAsia="宋体" w:cs="宋体"/>
                <w:kern w:val="0"/>
                <w:szCs w:val="21"/>
              </w:rPr>
              <w:t>污水处理系统产生的</w:t>
            </w:r>
            <w:r>
              <w:rPr>
                <w:rFonts w:hint="eastAsia" w:ascii="Times New Roman" w:hAnsi="Times New Roman" w:eastAsia="宋体" w:cs="Times New Roman"/>
                <w:kern w:val="24"/>
                <w:szCs w:val="21"/>
              </w:rPr>
              <w:t>絮凝沉淀物</w:t>
            </w:r>
            <w:r>
              <w:rPr>
                <w:rFonts w:hint="eastAsia" w:ascii="宋体" w:hAnsi="Times New Roman" w:eastAsia="宋体" w:cs="宋体"/>
                <w:kern w:val="0"/>
                <w:szCs w:val="21"/>
              </w:rPr>
              <w:t>定期交有处理能力的单位进行处置</w:t>
            </w:r>
            <w:r>
              <w:rPr>
                <w:rFonts w:hint="eastAsia" w:ascii="Times New Roman" w:hAnsi="Times New Roman" w:eastAsia="宋体" w:cs="Times New Roman"/>
                <w:szCs w:val="21"/>
              </w:rPr>
              <w:t>，</w:t>
            </w:r>
            <w:r>
              <w:rPr>
                <w:rFonts w:hint="eastAsia" w:ascii="宋体" w:hAnsi="Times New Roman" w:eastAsia="宋体" w:cs="宋体"/>
                <w:kern w:val="0"/>
                <w:szCs w:val="21"/>
              </w:rPr>
              <w:t>废包装袋返回废品收购站循环利用</w:t>
            </w:r>
            <w:r>
              <w:rPr>
                <w:rFonts w:hint="eastAsia" w:ascii="Times New Roman" w:hAnsi="Times New Roman" w:eastAsia="宋体" w:cs="Times New Roman"/>
                <w:szCs w:val="21"/>
              </w:rPr>
              <w:t>，植物油渣定期交有处理能力的单位进行处置，挑选出的其他材质的瓶子外售给废品站，生活垃圾收集后，交环卫部门进行处理。</w:t>
            </w:r>
          </w:p>
          <w:p>
            <w:pPr>
              <w:spacing w:line="360" w:lineRule="auto"/>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本项目产生固体废物全部综合利用或妥善处理，固体废物对周边环境影响较小。</w:t>
            </w:r>
          </w:p>
          <w:p>
            <w:pPr>
              <w:spacing w:line="360" w:lineRule="auto"/>
              <w:ind w:firstLine="420" w:firstLineChars="200"/>
              <w:rPr>
                <w:rFonts w:ascii="宋体" w:hAnsi="Times New Roman" w:eastAsia="宋体" w:cs="宋体"/>
                <w:szCs w:val="21"/>
              </w:rPr>
            </w:pPr>
            <w:r>
              <w:rPr>
                <w:rFonts w:hint="eastAsia" w:ascii="Times New Roman" w:hAnsi="宋体" w:eastAsia="宋体" w:cs="Times New Roman"/>
                <w:szCs w:val="21"/>
              </w:rPr>
              <w:t>回收破碎加工生活及食品类塑料新建项目</w:t>
            </w:r>
            <w:r>
              <w:rPr>
                <w:rFonts w:ascii="Times New Roman" w:hAnsi="Times New Roman" w:eastAsia="宋体" w:cs="Times New Roman"/>
                <w:snapToGrid w:val="0"/>
                <w:szCs w:val="21"/>
              </w:rPr>
              <w:t>符合国家产业政策，在运营期所采取的污染防治措施从技术经济角度考虑可行，符合污染物达标排放的原则和污染物总量控制要求；能够维持该地区的环境质量现状，因此本项目在严格执行国家各项环保法律、法规，认真落实评价提出的各项污染防治措施的前提下，对环境影响较小，从环保角度，</w:t>
            </w:r>
            <w:r>
              <w:rPr>
                <w:rFonts w:hint="eastAsia" w:ascii="Times New Roman" w:hAnsi="Times New Roman" w:eastAsia="宋体" w:cs="Times New Roman"/>
                <w:szCs w:val="21"/>
              </w:rPr>
              <w:t>项目</w:t>
            </w:r>
            <w:r>
              <w:rPr>
                <w:rFonts w:ascii="Times New Roman" w:hAnsi="Times New Roman" w:eastAsia="宋体" w:cs="Times New Roman"/>
                <w:snapToGrid w:val="0"/>
                <w:szCs w:val="21"/>
              </w:rPr>
              <w:t>可行。</w:t>
            </w:r>
          </w:p>
        </w:tc>
      </w:tr>
    </w:tbl>
    <w:p>
      <w:pPr>
        <w:ind w:firstLine="420"/>
        <w:rPr>
          <w:rFonts w:ascii="宋体" w:hAnsi="Times New Roman" w:eastAsia="宋体" w:cs="Times New Roman"/>
          <w:szCs w:val="24"/>
        </w:rPr>
        <w:sectPr>
          <w:pgSz w:w="11906" w:h="16838"/>
          <w:pgMar w:top="1701" w:right="1531" w:bottom="1701" w:left="1531" w:header="851" w:footer="851" w:gutter="0"/>
          <w:cols w:space="720" w:num="1"/>
          <w:docGrid w:linePitch="312" w:charSpace="0"/>
        </w:sectPr>
      </w:pPr>
    </w:p>
    <w:p>
      <w:pPr>
        <w:widowControl/>
        <w:adjustRightInd w:val="0"/>
        <w:snapToGrid w:val="0"/>
        <w:spacing w:line="648" w:lineRule="auto"/>
        <w:ind w:firstLine="640"/>
        <w:jc w:val="left"/>
        <w:outlineLvl w:val="0"/>
        <w:rPr>
          <w:rFonts w:ascii="黑体" w:hAnsi="黑体" w:eastAsia="黑体" w:cs="Times New Roman"/>
          <w:snapToGrid w:val="0"/>
          <w:kern w:val="0"/>
          <w:sz w:val="32"/>
          <w:szCs w:val="32"/>
          <w:lang w:val="zh-CN"/>
        </w:rPr>
      </w:pPr>
      <w:r>
        <w:rPr>
          <w:rFonts w:hint="eastAsia" w:ascii="黑体" w:hAnsi="黑体" w:eastAsia="黑体" w:cs="Times New Roman"/>
          <w:snapToGrid w:val="0"/>
          <w:kern w:val="0"/>
          <w:sz w:val="32"/>
          <w:szCs w:val="32"/>
          <w:lang w:val="zh-CN"/>
        </w:rPr>
        <w:t>附表</w:t>
      </w:r>
    </w:p>
    <w:p>
      <w:pPr>
        <w:widowControl/>
        <w:adjustRightInd w:val="0"/>
        <w:snapToGrid w:val="0"/>
        <w:spacing w:line="552" w:lineRule="auto"/>
        <w:jc w:val="center"/>
        <w:outlineLvl w:val="0"/>
        <w:rPr>
          <w:rFonts w:ascii="方正小标宋_GBK" w:hAnsi="黑体" w:eastAsia="方正小标宋_GBK" w:cs="Times New Roman"/>
          <w:snapToGrid w:val="0"/>
          <w:kern w:val="0"/>
          <w:sz w:val="38"/>
          <w:szCs w:val="38"/>
          <w:lang w:val="zh-CN"/>
        </w:rPr>
      </w:pPr>
      <w:r>
        <w:rPr>
          <w:rFonts w:hint="eastAsia" w:ascii="方正小标宋_GBK" w:hAnsi="黑体" w:eastAsia="方正小标宋_GBK" w:cs="Times New Roman"/>
          <w:snapToGrid w:val="0"/>
          <w:kern w:val="0"/>
          <w:sz w:val="38"/>
          <w:szCs w:val="38"/>
          <w:lang w:val="zh-CN"/>
        </w:rPr>
        <w:t>建设项目污染物排放量汇总表</w:t>
      </w:r>
    </w:p>
    <w:tbl>
      <w:tblPr>
        <w:tblStyle w:val="18"/>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88"/>
        <w:gridCol w:w="1417"/>
        <w:gridCol w:w="1701"/>
        <w:gridCol w:w="1276"/>
        <w:gridCol w:w="1701"/>
        <w:gridCol w:w="1559"/>
        <w:gridCol w:w="1761"/>
        <w:gridCol w:w="1959"/>
        <w:gridCol w:w="82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588" w:type="dxa"/>
            <w:tcBorders>
              <w:tl2br w:val="single" w:color="auto" w:sz="4" w:space="0"/>
            </w:tcBorders>
            <w:tcMar>
              <w:left w:w="28" w:type="dxa"/>
              <w:right w:w="28" w:type="dxa"/>
            </w:tcMar>
            <w:vAlign w:val="center"/>
          </w:tcPr>
          <w:p>
            <w:pPr>
              <w:adjustRightInd w:val="0"/>
              <w:snapToGrid w:val="0"/>
              <w:jc w:val="right"/>
              <w:rPr>
                <w:rFonts w:ascii="黑体" w:hAnsi="黑体" w:eastAsia="黑体" w:cs="宋体"/>
                <w:snapToGrid w:val="0"/>
                <w:spacing w:val="-6"/>
                <w:kern w:val="21"/>
                <w:szCs w:val="21"/>
              </w:rPr>
            </w:pPr>
            <w:r>
              <w:rPr>
                <w:rFonts w:hint="eastAsia" w:ascii="黑体" w:hAnsi="黑体" w:eastAsia="黑体" w:cs="宋体"/>
                <w:snapToGrid w:val="0"/>
                <w:spacing w:val="-6"/>
                <w:kern w:val="21"/>
                <w:szCs w:val="21"/>
              </w:rPr>
              <w:t>项目</w:t>
            </w:r>
          </w:p>
          <w:p>
            <w:pPr>
              <w:adjustRightInd w:val="0"/>
              <w:snapToGrid w:val="0"/>
              <w:jc w:val="left"/>
              <w:rPr>
                <w:rFonts w:ascii="黑体" w:hAnsi="黑体" w:eastAsia="黑体" w:cs="宋体"/>
                <w:snapToGrid w:val="0"/>
                <w:spacing w:val="-6"/>
                <w:kern w:val="21"/>
                <w:szCs w:val="21"/>
              </w:rPr>
            </w:pPr>
            <w:r>
              <w:rPr>
                <w:rFonts w:hint="eastAsia" w:ascii="黑体" w:hAnsi="黑体" w:eastAsia="黑体" w:cs="宋体"/>
                <w:snapToGrid w:val="0"/>
                <w:spacing w:val="-6"/>
                <w:kern w:val="21"/>
                <w:szCs w:val="21"/>
              </w:rPr>
              <w:t>分类</w:t>
            </w:r>
          </w:p>
        </w:tc>
        <w:tc>
          <w:tcPr>
            <w:tcW w:w="1417" w:type="dxa"/>
            <w:tcMar>
              <w:left w:w="28" w:type="dxa"/>
              <w:right w:w="28" w:type="dxa"/>
            </w:tcMar>
            <w:vAlign w:val="center"/>
          </w:tcPr>
          <w:p>
            <w:pPr>
              <w:adjustRightInd w:val="0"/>
              <w:snapToGrid w:val="0"/>
              <w:jc w:val="center"/>
              <w:rPr>
                <w:rFonts w:ascii="黑体" w:hAnsi="黑体" w:eastAsia="黑体" w:cs="宋体"/>
                <w:snapToGrid w:val="0"/>
                <w:spacing w:val="-6"/>
                <w:kern w:val="21"/>
                <w:szCs w:val="21"/>
              </w:rPr>
            </w:pPr>
            <w:r>
              <w:rPr>
                <w:rFonts w:hint="eastAsia" w:ascii="黑体" w:hAnsi="黑体" w:eastAsia="黑体" w:cs="宋体"/>
                <w:snapToGrid w:val="0"/>
                <w:spacing w:val="-6"/>
                <w:kern w:val="21"/>
                <w:szCs w:val="21"/>
              </w:rPr>
              <w:t>污染物名称</w:t>
            </w:r>
          </w:p>
        </w:tc>
        <w:tc>
          <w:tcPr>
            <w:tcW w:w="1701" w:type="dxa"/>
            <w:tcMar>
              <w:left w:w="28" w:type="dxa"/>
              <w:right w:w="28" w:type="dxa"/>
            </w:tcMar>
            <w:vAlign w:val="center"/>
          </w:tcPr>
          <w:p>
            <w:pPr>
              <w:adjustRightInd w:val="0"/>
              <w:snapToGrid w:val="0"/>
              <w:jc w:val="center"/>
              <w:rPr>
                <w:rFonts w:ascii="黑体" w:hAnsi="黑体" w:eastAsia="黑体" w:cs="Times New Roman"/>
                <w:snapToGrid w:val="0"/>
                <w:spacing w:val="-6"/>
                <w:kern w:val="21"/>
                <w:szCs w:val="21"/>
              </w:rPr>
            </w:pPr>
            <w:r>
              <w:rPr>
                <w:rFonts w:ascii="黑体" w:hAnsi="黑体" w:eastAsia="黑体" w:cs="Times New Roman"/>
                <w:snapToGrid w:val="0"/>
                <w:spacing w:val="-6"/>
                <w:kern w:val="21"/>
                <w:szCs w:val="21"/>
              </w:rPr>
              <w:t>现有工程</w:t>
            </w:r>
          </w:p>
          <w:p>
            <w:pPr>
              <w:adjustRightInd w:val="0"/>
              <w:snapToGrid w:val="0"/>
              <w:jc w:val="center"/>
              <w:rPr>
                <w:rFonts w:ascii="黑体" w:hAnsi="黑体" w:eastAsia="黑体" w:cs="Times New Roman"/>
                <w:snapToGrid w:val="0"/>
                <w:spacing w:val="-6"/>
                <w:kern w:val="21"/>
                <w:szCs w:val="21"/>
              </w:rPr>
            </w:pPr>
            <w:r>
              <w:rPr>
                <w:rFonts w:ascii="黑体" w:hAnsi="黑体" w:eastAsia="黑体" w:cs="Times New Roman"/>
                <w:snapToGrid w:val="0"/>
                <w:spacing w:val="-6"/>
                <w:kern w:val="21"/>
                <w:szCs w:val="21"/>
              </w:rPr>
              <w:t>排放量（固</w:t>
            </w:r>
            <w:r>
              <w:rPr>
                <w:rFonts w:hint="eastAsia" w:ascii="黑体" w:hAnsi="黑体" w:eastAsia="黑体" w:cs="Times New Roman"/>
                <w:snapToGrid w:val="0"/>
                <w:spacing w:val="-6"/>
                <w:kern w:val="21"/>
                <w:szCs w:val="21"/>
              </w:rPr>
              <w:t>体</w:t>
            </w:r>
            <w:r>
              <w:rPr>
                <w:rFonts w:ascii="黑体" w:hAnsi="黑体" w:eastAsia="黑体" w:cs="Times New Roman"/>
                <w:snapToGrid w:val="0"/>
                <w:spacing w:val="-6"/>
                <w:kern w:val="21"/>
                <w:szCs w:val="21"/>
              </w:rPr>
              <w:t>废</w:t>
            </w:r>
            <w:r>
              <w:rPr>
                <w:rFonts w:hint="eastAsia" w:ascii="黑体" w:hAnsi="黑体" w:eastAsia="黑体" w:cs="Times New Roman"/>
                <w:snapToGrid w:val="0"/>
                <w:spacing w:val="-6"/>
                <w:kern w:val="21"/>
                <w:szCs w:val="21"/>
              </w:rPr>
              <w:t>物</w:t>
            </w:r>
            <w:r>
              <w:rPr>
                <w:rFonts w:ascii="黑体" w:hAnsi="黑体" w:eastAsia="黑体" w:cs="Times New Roman"/>
                <w:snapToGrid w:val="0"/>
                <w:spacing w:val="-6"/>
                <w:kern w:val="21"/>
                <w:szCs w:val="21"/>
              </w:rPr>
              <w:t>产生量）</w:t>
            </w:r>
            <w:r>
              <w:rPr>
                <w:rFonts w:ascii="黑体" w:hAnsi="黑体" w:eastAsia="黑体" w:cs="Times New Roman"/>
                <w:snapToGrid w:val="0"/>
                <w:spacing w:val="-6"/>
                <w:kern w:val="21"/>
                <w:szCs w:val="21"/>
              </w:rPr>
              <w:fldChar w:fldCharType="begin"/>
            </w:r>
            <w:r>
              <w:rPr>
                <w:rFonts w:ascii="黑体" w:hAnsi="黑体" w:eastAsia="黑体" w:cs="Times New Roman"/>
                <w:snapToGrid w:val="0"/>
                <w:spacing w:val="-6"/>
                <w:kern w:val="21"/>
                <w:szCs w:val="21"/>
              </w:rPr>
              <w:instrText xml:space="preserve"> = 1 \* GB3 \* MERGEFORMAT </w:instrText>
            </w:r>
            <w:r>
              <w:rPr>
                <w:rFonts w:ascii="黑体" w:hAnsi="黑体" w:eastAsia="黑体" w:cs="Times New Roman"/>
                <w:snapToGrid w:val="0"/>
                <w:spacing w:val="-6"/>
                <w:kern w:val="21"/>
                <w:szCs w:val="21"/>
              </w:rPr>
              <w:fldChar w:fldCharType="separate"/>
            </w:r>
            <w:r>
              <w:rPr>
                <w:rFonts w:hint="eastAsia" w:ascii="黑体" w:hAnsi="黑体" w:eastAsia="黑体" w:cs="宋体"/>
                <w:szCs w:val="21"/>
              </w:rPr>
              <w:t>①</w:t>
            </w:r>
            <w:r>
              <w:rPr>
                <w:rFonts w:ascii="黑体" w:hAnsi="黑体" w:eastAsia="黑体" w:cs="Times New Roman"/>
                <w:snapToGrid w:val="0"/>
                <w:spacing w:val="-6"/>
                <w:kern w:val="21"/>
                <w:szCs w:val="21"/>
              </w:rPr>
              <w:fldChar w:fldCharType="end"/>
            </w:r>
          </w:p>
        </w:tc>
        <w:tc>
          <w:tcPr>
            <w:tcW w:w="1276" w:type="dxa"/>
            <w:tcMar>
              <w:left w:w="28" w:type="dxa"/>
              <w:right w:w="28" w:type="dxa"/>
            </w:tcMar>
            <w:vAlign w:val="center"/>
          </w:tcPr>
          <w:p>
            <w:pPr>
              <w:adjustRightInd w:val="0"/>
              <w:snapToGrid w:val="0"/>
              <w:jc w:val="center"/>
              <w:rPr>
                <w:rFonts w:ascii="黑体" w:hAnsi="黑体" w:eastAsia="黑体" w:cs="Times New Roman"/>
                <w:snapToGrid w:val="0"/>
                <w:spacing w:val="-6"/>
                <w:kern w:val="21"/>
                <w:szCs w:val="21"/>
              </w:rPr>
            </w:pPr>
            <w:r>
              <w:rPr>
                <w:rFonts w:ascii="黑体" w:hAnsi="黑体" w:eastAsia="黑体" w:cs="Times New Roman"/>
                <w:snapToGrid w:val="0"/>
                <w:spacing w:val="-6"/>
                <w:kern w:val="21"/>
                <w:szCs w:val="21"/>
              </w:rPr>
              <w:t>现有工程</w:t>
            </w:r>
          </w:p>
          <w:p>
            <w:pPr>
              <w:adjustRightInd w:val="0"/>
              <w:snapToGrid w:val="0"/>
              <w:jc w:val="center"/>
              <w:rPr>
                <w:rFonts w:ascii="黑体" w:hAnsi="黑体" w:eastAsia="黑体" w:cs="Times New Roman"/>
                <w:snapToGrid w:val="0"/>
                <w:spacing w:val="-6"/>
                <w:kern w:val="21"/>
                <w:szCs w:val="21"/>
              </w:rPr>
            </w:pPr>
            <w:r>
              <w:rPr>
                <w:rFonts w:ascii="黑体" w:hAnsi="黑体" w:eastAsia="黑体" w:cs="Times New Roman"/>
                <w:snapToGrid w:val="0"/>
                <w:spacing w:val="-6"/>
                <w:kern w:val="21"/>
                <w:szCs w:val="21"/>
              </w:rPr>
              <w:t>许可排放量</w:t>
            </w:r>
          </w:p>
          <w:p>
            <w:pPr>
              <w:adjustRightInd w:val="0"/>
              <w:snapToGrid w:val="0"/>
              <w:spacing w:line="259" w:lineRule="auto"/>
              <w:jc w:val="center"/>
              <w:rPr>
                <w:rFonts w:ascii="黑体" w:hAnsi="黑体" w:eastAsia="黑体" w:cs="Times New Roman"/>
                <w:snapToGrid w:val="0"/>
                <w:spacing w:val="-6"/>
                <w:kern w:val="21"/>
                <w:szCs w:val="21"/>
              </w:rPr>
            </w:pPr>
            <w:r>
              <w:rPr>
                <w:rFonts w:ascii="黑体" w:hAnsi="黑体" w:eastAsia="黑体" w:cs="Times New Roman"/>
                <w:snapToGrid w:val="0"/>
                <w:spacing w:val="-6"/>
                <w:kern w:val="21"/>
                <w:szCs w:val="21"/>
              </w:rPr>
              <w:fldChar w:fldCharType="begin"/>
            </w:r>
            <w:r>
              <w:rPr>
                <w:rFonts w:ascii="黑体" w:hAnsi="黑体" w:eastAsia="黑体" w:cs="Times New Roman"/>
                <w:snapToGrid w:val="0"/>
                <w:spacing w:val="-6"/>
                <w:kern w:val="21"/>
                <w:szCs w:val="21"/>
              </w:rPr>
              <w:instrText xml:space="preserve"> = 2 \* GB3 \* MERGEFORMAT </w:instrText>
            </w:r>
            <w:r>
              <w:rPr>
                <w:rFonts w:ascii="黑体" w:hAnsi="黑体" w:eastAsia="黑体" w:cs="Times New Roman"/>
                <w:snapToGrid w:val="0"/>
                <w:spacing w:val="-6"/>
                <w:kern w:val="21"/>
                <w:szCs w:val="21"/>
              </w:rPr>
              <w:fldChar w:fldCharType="separate"/>
            </w:r>
            <w:r>
              <w:rPr>
                <w:rFonts w:hint="eastAsia" w:ascii="黑体" w:hAnsi="黑体" w:eastAsia="黑体" w:cs="宋体"/>
                <w:snapToGrid w:val="0"/>
                <w:spacing w:val="-6"/>
                <w:kern w:val="21"/>
                <w:szCs w:val="21"/>
              </w:rPr>
              <w:t>②</w:t>
            </w:r>
            <w:r>
              <w:rPr>
                <w:rFonts w:ascii="黑体" w:hAnsi="黑体" w:eastAsia="黑体" w:cs="Times New Roman"/>
                <w:snapToGrid w:val="0"/>
                <w:spacing w:val="-6"/>
                <w:kern w:val="21"/>
                <w:szCs w:val="21"/>
              </w:rPr>
              <w:fldChar w:fldCharType="end"/>
            </w:r>
          </w:p>
        </w:tc>
        <w:tc>
          <w:tcPr>
            <w:tcW w:w="1701" w:type="dxa"/>
            <w:tcMar>
              <w:left w:w="28" w:type="dxa"/>
              <w:right w:w="28" w:type="dxa"/>
            </w:tcMar>
            <w:vAlign w:val="center"/>
          </w:tcPr>
          <w:p>
            <w:pPr>
              <w:adjustRightInd w:val="0"/>
              <w:snapToGrid w:val="0"/>
              <w:jc w:val="center"/>
              <w:rPr>
                <w:rFonts w:ascii="黑体" w:hAnsi="黑体" w:eastAsia="黑体" w:cs="Times New Roman"/>
                <w:snapToGrid w:val="0"/>
                <w:spacing w:val="-6"/>
                <w:kern w:val="21"/>
                <w:szCs w:val="21"/>
              </w:rPr>
            </w:pPr>
            <w:r>
              <w:rPr>
                <w:rFonts w:ascii="黑体" w:hAnsi="黑体" w:eastAsia="黑体" w:cs="Times New Roman"/>
                <w:snapToGrid w:val="0"/>
                <w:spacing w:val="-6"/>
                <w:kern w:val="21"/>
                <w:szCs w:val="21"/>
              </w:rPr>
              <w:t>在建工程</w:t>
            </w:r>
          </w:p>
          <w:p>
            <w:pPr>
              <w:adjustRightInd w:val="0"/>
              <w:snapToGrid w:val="0"/>
              <w:jc w:val="center"/>
              <w:rPr>
                <w:rFonts w:ascii="黑体" w:hAnsi="黑体" w:eastAsia="黑体" w:cs="Times New Roman"/>
                <w:snapToGrid w:val="0"/>
                <w:spacing w:val="-6"/>
                <w:kern w:val="21"/>
                <w:szCs w:val="21"/>
              </w:rPr>
            </w:pPr>
            <w:r>
              <w:rPr>
                <w:rFonts w:ascii="黑体" w:hAnsi="黑体" w:eastAsia="黑体" w:cs="Times New Roman"/>
                <w:snapToGrid w:val="0"/>
                <w:spacing w:val="-6"/>
                <w:kern w:val="21"/>
                <w:szCs w:val="21"/>
              </w:rPr>
              <w:t>排放量（固</w:t>
            </w:r>
            <w:r>
              <w:rPr>
                <w:rFonts w:hint="eastAsia" w:ascii="黑体" w:hAnsi="黑体" w:eastAsia="黑体" w:cs="Times New Roman"/>
                <w:snapToGrid w:val="0"/>
                <w:spacing w:val="-6"/>
                <w:kern w:val="21"/>
                <w:szCs w:val="21"/>
              </w:rPr>
              <w:t>体</w:t>
            </w:r>
            <w:r>
              <w:rPr>
                <w:rFonts w:ascii="黑体" w:hAnsi="黑体" w:eastAsia="黑体" w:cs="Times New Roman"/>
                <w:snapToGrid w:val="0"/>
                <w:spacing w:val="-6"/>
                <w:kern w:val="21"/>
                <w:szCs w:val="21"/>
              </w:rPr>
              <w:t>废</w:t>
            </w:r>
            <w:r>
              <w:rPr>
                <w:rFonts w:hint="eastAsia" w:ascii="黑体" w:hAnsi="黑体" w:eastAsia="黑体" w:cs="Times New Roman"/>
                <w:snapToGrid w:val="0"/>
                <w:spacing w:val="-6"/>
                <w:kern w:val="21"/>
                <w:szCs w:val="21"/>
              </w:rPr>
              <w:t>物</w:t>
            </w:r>
            <w:r>
              <w:rPr>
                <w:rFonts w:ascii="黑体" w:hAnsi="黑体" w:eastAsia="黑体" w:cs="Times New Roman"/>
                <w:snapToGrid w:val="0"/>
                <w:spacing w:val="-6"/>
                <w:kern w:val="21"/>
                <w:szCs w:val="21"/>
              </w:rPr>
              <w:t>产生量）</w:t>
            </w:r>
            <w:r>
              <w:rPr>
                <w:rFonts w:ascii="黑体" w:hAnsi="黑体" w:eastAsia="黑体" w:cs="Times New Roman"/>
                <w:snapToGrid w:val="0"/>
                <w:spacing w:val="-6"/>
                <w:kern w:val="21"/>
                <w:szCs w:val="21"/>
              </w:rPr>
              <w:fldChar w:fldCharType="begin"/>
            </w:r>
            <w:r>
              <w:rPr>
                <w:rFonts w:ascii="黑体" w:hAnsi="黑体" w:eastAsia="黑体" w:cs="Times New Roman"/>
                <w:snapToGrid w:val="0"/>
                <w:spacing w:val="-6"/>
                <w:kern w:val="21"/>
                <w:szCs w:val="21"/>
              </w:rPr>
              <w:instrText xml:space="preserve"> = 3 \* GB3 \* MERGEFORMAT </w:instrText>
            </w:r>
            <w:r>
              <w:rPr>
                <w:rFonts w:ascii="黑体" w:hAnsi="黑体" w:eastAsia="黑体" w:cs="Times New Roman"/>
                <w:snapToGrid w:val="0"/>
                <w:spacing w:val="-6"/>
                <w:kern w:val="21"/>
                <w:szCs w:val="21"/>
              </w:rPr>
              <w:fldChar w:fldCharType="separate"/>
            </w:r>
            <w:r>
              <w:rPr>
                <w:rFonts w:hint="eastAsia" w:ascii="黑体" w:hAnsi="黑体" w:eastAsia="黑体" w:cs="宋体"/>
                <w:szCs w:val="21"/>
              </w:rPr>
              <w:t>③</w:t>
            </w:r>
            <w:r>
              <w:rPr>
                <w:rFonts w:ascii="黑体" w:hAnsi="黑体" w:eastAsia="黑体" w:cs="Times New Roman"/>
                <w:snapToGrid w:val="0"/>
                <w:spacing w:val="-6"/>
                <w:kern w:val="21"/>
                <w:szCs w:val="21"/>
              </w:rPr>
              <w:fldChar w:fldCharType="end"/>
            </w:r>
          </w:p>
        </w:tc>
        <w:tc>
          <w:tcPr>
            <w:tcW w:w="1559" w:type="dxa"/>
            <w:tcMar>
              <w:left w:w="28" w:type="dxa"/>
              <w:right w:w="28" w:type="dxa"/>
            </w:tcMar>
            <w:vAlign w:val="center"/>
          </w:tcPr>
          <w:p>
            <w:pPr>
              <w:adjustRightInd w:val="0"/>
              <w:snapToGrid w:val="0"/>
              <w:jc w:val="center"/>
              <w:rPr>
                <w:rFonts w:ascii="黑体" w:hAnsi="黑体" w:eastAsia="黑体" w:cs="Times New Roman"/>
                <w:snapToGrid w:val="0"/>
                <w:spacing w:val="-6"/>
                <w:kern w:val="21"/>
                <w:szCs w:val="21"/>
              </w:rPr>
            </w:pPr>
            <w:r>
              <w:rPr>
                <w:rFonts w:ascii="黑体" w:hAnsi="黑体" w:eastAsia="黑体" w:cs="Times New Roman"/>
                <w:snapToGrid w:val="0"/>
                <w:spacing w:val="-6"/>
                <w:kern w:val="21"/>
                <w:szCs w:val="21"/>
              </w:rPr>
              <w:t>本项目</w:t>
            </w:r>
          </w:p>
          <w:p>
            <w:pPr>
              <w:adjustRightInd w:val="0"/>
              <w:snapToGrid w:val="0"/>
              <w:jc w:val="center"/>
              <w:rPr>
                <w:rFonts w:ascii="黑体" w:hAnsi="黑体" w:eastAsia="黑体" w:cs="Times New Roman"/>
                <w:snapToGrid w:val="0"/>
                <w:spacing w:val="-6"/>
                <w:kern w:val="21"/>
                <w:szCs w:val="21"/>
              </w:rPr>
            </w:pPr>
            <w:r>
              <w:rPr>
                <w:rFonts w:ascii="黑体" w:hAnsi="黑体" w:eastAsia="黑体" w:cs="Times New Roman"/>
                <w:snapToGrid w:val="0"/>
                <w:spacing w:val="-6"/>
                <w:kern w:val="21"/>
                <w:szCs w:val="21"/>
              </w:rPr>
              <w:t>排放量（固</w:t>
            </w:r>
            <w:r>
              <w:rPr>
                <w:rFonts w:hint="eastAsia" w:ascii="黑体" w:hAnsi="黑体" w:eastAsia="黑体" w:cs="Times New Roman"/>
                <w:snapToGrid w:val="0"/>
                <w:spacing w:val="-6"/>
                <w:kern w:val="21"/>
                <w:szCs w:val="21"/>
              </w:rPr>
              <w:t>体</w:t>
            </w:r>
            <w:r>
              <w:rPr>
                <w:rFonts w:ascii="黑体" w:hAnsi="黑体" w:eastAsia="黑体" w:cs="Times New Roman"/>
                <w:snapToGrid w:val="0"/>
                <w:spacing w:val="-6"/>
                <w:kern w:val="21"/>
                <w:szCs w:val="21"/>
              </w:rPr>
              <w:t>废</w:t>
            </w:r>
            <w:r>
              <w:rPr>
                <w:rFonts w:hint="eastAsia" w:ascii="黑体" w:hAnsi="黑体" w:eastAsia="黑体" w:cs="Times New Roman"/>
                <w:snapToGrid w:val="0"/>
                <w:spacing w:val="-6"/>
                <w:kern w:val="21"/>
                <w:szCs w:val="21"/>
              </w:rPr>
              <w:t>物</w:t>
            </w:r>
            <w:r>
              <w:rPr>
                <w:rFonts w:ascii="黑体" w:hAnsi="黑体" w:eastAsia="黑体" w:cs="Times New Roman"/>
                <w:snapToGrid w:val="0"/>
                <w:spacing w:val="-6"/>
                <w:kern w:val="21"/>
                <w:szCs w:val="21"/>
              </w:rPr>
              <w:t>产生量）</w:t>
            </w:r>
            <w:r>
              <w:rPr>
                <w:rFonts w:ascii="黑体" w:hAnsi="黑体" w:eastAsia="黑体" w:cs="Times New Roman"/>
                <w:snapToGrid w:val="0"/>
                <w:spacing w:val="-6"/>
                <w:kern w:val="21"/>
                <w:szCs w:val="21"/>
              </w:rPr>
              <w:fldChar w:fldCharType="begin"/>
            </w:r>
            <w:r>
              <w:rPr>
                <w:rFonts w:ascii="黑体" w:hAnsi="黑体" w:eastAsia="黑体" w:cs="Times New Roman"/>
                <w:snapToGrid w:val="0"/>
                <w:spacing w:val="-6"/>
                <w:kern w:val="21"/>
                <w:szCs w:val="21"/>
              </w:rPr>
              <w:instrText xml:space="preserve"> = 4 \* GB3 \* MERGEFORMAT </w:instrText>
            </w:r>
            <w:r>
              <w:rPr>
                <w:rFonts w:ascii="黑体" w:hAnsi="黑体" w:eastAsia="黑体" w:cs="Times New Roman"/>
                <w:snapToGrid w:val="0"/>
                <w:spacing w:val="-6"/>
                <w:kern w:val="21"/>
                <w:szCs w:val="21"/>
              </w:rPr>
              <w:fldChar w:fldCharType="separate"/>
            </w:r>
            <w:r>
              <w:rPr>
                <w:rFonts w:hint="eastAsia" w:ascii="黑体" w:hAnsi="黑体" w:eastAsia="黑体" w:cs="宋体"/>
                <w:szCs w:val="21"/>
              </w:rPr>
              <w:t>④</w:t>
            </w:r>
            <w:r>
              <w:rPr>
                <w:rFonts w:ascii="黑体" w:hAnsi="黑体" w:eastAsia="黑体" w:cs="Times New Roman"/>
                <w:snapToGrid w:val="0"/>
                <w:spacing w:val="-6"/>
                <w:kern w:val="21"/>
                <w:szCs w:val="21"/>
              </w:rPr>
              <w:fldChar w:fldCharType="end"/>
            </w:r>
          </w:p>
        </w:tc>
        <w:tc>
          <w:tcPr>
            <w:tcW w:w="1761" w:type="dxa"/>
            <w:tcMar>
              <w:left w:w="28" w:type="dxa"/>
              <w:right w:w="28" w:type="dxa"/>
            </w:tcMar>
            <w:vAlign w:val="center"/>
          </w:tcPr>
          <w:p>
            <w:pPr>
              <w:adjustRightInd w:val="0"/>
              <w:snapToGrid w:val="0"/>
              <w:jc w:val="center"/>
              <w:rPr>
                <w:rFonts w:ascii="黑体" w:hAnsi="黑体" w:eastAsia="黑体" w:cs="Times New Roman"/>
                <w:snapToGrid w:val="0"/>
                <w:spacing w:val="-16"/>
                <w:kern w:val="21"/>
                <w:szCs w:val="21"/>
              </w:rPr>
            </w:pPr>
            <w:r>
              <w:rPr>
                <w:rFonts w:ascii="黑体" w:hAnsi="黑体" w:eastAsia="黑体" w:cs="Times New Roman"/>
                <w:snapToGrid w:val="0"/>
                <w:spacing w:val="-16"/>
                <w:kern w:val="21"/>
                <w:szCs w:val="21"/>
              </w:rPr>
              <w:t>以新带老削减量</w:t>
            </w:r>
          </w:p>
          <w:p>
            <w:pPr>
              <w:adjustRightInd w:val="0"/>
              <w:snapToGrid w:val="0"/>
              <w:jc w:val="center"/>
              <w:rPr>
                <w:rFonts w:ascii="黑体" w:hAnsi="黑体" w:eastAsia="黑体" w:cs="Times New Roman"/>
                <w:snapToGrid w:val="0"/>
                <w:spacing w:val="-16"/>
                <w:kern w:val="21"/>
                <w:szCs w:val="21"/>
              </w:rPr>
            </w:pPr>
            <w:r>
              <w:rPr>
                <w:rFonts w:ascii="黑体" w:hAnsi="黑体" w:eastAsia="黑体" w:cs="Times New Roman"/>
                <w:snapToGrid w:val="0"/>
                <w:spacing w:val="-16"/>
                <w:kern w:val="21"/>
                <w:szCs w:val="21"/>
              </w:rPr>
              <w:t>（新建项目不填）</w:t>
            </w:r>
            <w:r>
              <w:rPr>
                <w:rFonts w:ascii="黑体" w:hAnsi="黑体" w:eastAsia="黑体" w:cs="Times New Roman"/>
                <w:snapToGrid w:val="0"/>
                <w:spacing w:val="-16"/>
                <w:kern w:val="21"/>
                <w:szCs w:val="21"/>
              </w:rPr>
              <w:fldChar w:fldCharType="begin"/>
            </w:r>
            <w:r>
              <w:rPr>
                <w:rFonts w:ascii="黑体" w:hAnsi="黑体" w:eastAsia="黑体" w:cs="Times New Roman"/>
                <w:snapToGrid w:val="0"/>
                <w:spacing w:val="-16"/>
                <w:kern w:val="21"/>
                <w:szCs w:val="21"/>
              </w:rPr>
              <w:instrText xml:space="preserve"> = 5 \* GB3 \* MERGEFORMAT </w:instrText>
            </w:r>
            <w:r>
              <w:rPr>
                <w:rFonts w:ascii="黑体" w:hAnsi="黑体" w:eastAsia="黑体" w:cs="Times New Roman"/>
                <w:snapToGrid w:val="0"/>
                <w:spacing w:val="-16"/>
                <w:kern w:val="21"/>
                <w:szCs w:val="21"/>
              </w:rPr>
              <w:fldChar w:fldCharType="separate"/>
            </w:r>
            <w:r>
              <w:rPr>
                <w:rFonts w:hint="eastAsia" w:ascii="黑体" w:hAnsi="黑体" w:eastAsia="黑体" w:cs="宋体"/>
                <w:szCs w:val="21"/>
              </w:rPr>
              <w:t>⑤</w:t>
            </w:r>
            <w:r>
              <w:rPr>
                <w:rFonts w:ascii="黑体" w:hAnsi="黑体" w:eastAsia="黑体" w:cs="Times New Roman"/>
                <w:snapToGrid w:val="0"/>
                <w:spacing w:val="-16"/>
                <w:kern w:val="21"/>
                <w:szCs w:val="21"/>
              </w:rPr>
              <w:fldChar w:fldCharType="end"/>
            </w:r>
          </w:p>
        </w:tc>
        <w:tc>
          <w:tcPr>
            <w:tcW w:w="1959" w:type="dxa"/>
            <w:tcMar>
              <w:left w:w="28" w:type="dxa"/>
              <w:right w:w="28" w:type="dxa"/>
            </w:tcMar>
            <w:vAlign w:val="center"/>
          </w:tcPr>
          <w:p>
            <w:pPr>
              <w:adjustRightInd w:val="0"/>
              <w:snapToGrid w:val="0"/>
              <w:jc w:val="center"/>
              <w:rPr>
                <w:rFonts w:ascii="黑体" w:hAnsi="黑体" w:eastAsia="黑体" w:cs="Times New Roman"/>
                <w:snapToGrid w:val="0"/>
                <w:spacing w:val="-16"/>
                <w:kern w:val="21"/>
                <w:szCs w:val="21"/>
              </w:rPr>
            </w:pPr>
            <w:r>
              <w:rPr>
                <w:rFonts w:ascii="黑体" w:hAnsi="黑体" w:eastAsia="黑体" w:cs="Times New Roman"/>
                <w:snapToGrid w:val="0"/>
                <w:spacing w:val="-16"/>
                <w:kern w:val="21"/>
                <w:szCs w:val="21"/>
              </w:rPr>
              <w:t>本项目建成后</w:t>
            </w:r>
          </w:p>
          <w:p>
            <w:pPr>
              <w:adjustRightInd w:val="0"/>
              <w:snapToGrid w:val="0"/>
              <w:jc w:val="center"/>
              <w:rPr>
                <w:rFonts w:ascii="黑体" w:hAnsi="黑体" w:eastAsia="黑体" w:cs="Times New Roman"/>
                <w:snapToGrid w:val="0"/>
                <w:spacing w:val="-16"/>
                <w:kern w:val="21"/>
                <w:szCs w:val="21"/>
              </w:rPr>
            </w:pPr>
            <w:r>
              <w:rPr>
                <w:rFonts w:hint="eastAsia" w:ascii="黑体" w:hAnsi="黑体" w:eastAsia="黑体" w:cs="Times New Roman"/>
                <w:snapToGrid w:val="0"/>
                <w:spacing w:val="-16"/>
                <w:kern w:val="21"/>
                <w:szCs w:val="21"/>
              </w:rPr>
              <w:t>全厂</w:t>
            </w:r>
            <w:r>
              <w:rPr>
                <w:rFonts w:ascii="黑体" w:hAnsi="黑体" w:eastAsia="黑体" w:cs="Times New Roman"/>
                <w:snapToGrid w:val="0"/>
                <w:spacing w:val="-16"/>
                <w:kern w:val="21"/>
                <w:szCs w:val="21"/>
              </w:rPr>
              <w:t>排放量（固</w:t>
            </w:r>
            <w:r>
              <w:rPr>
                <w:rFonts w:hint="eastAsia" w:ascii="黑体" w:hAnsi="黑体" w:eastAsia="黑体" w:cs="Times New Roman"/>
                <w:snapToGrid w:val="0"/>
                <w:spacing w:val="-16"/>
                <w:kern w:val="21"/>
                <w:szCs w:val="21"/>
              </w:rPr>
              <w:t>体</w:t>
            </w:r>
            <w:r>
              <w:rPr>
                <w:rFonts w:ascii="黑体" w:hAnsi="黑体" w:eastAsia="黑体" w:cs="Times New Roman"/>
                <w:snapToGrid w:val="0"/>
                <w:spacing w:val="-16"/>
                <w:kern w:val="21"/>
                <w:szCs w:val="21"/>
              </w:rPr>
              <w:t>废</w:t>
            </w:r>
            <w:r>
              <w:rPr>
                <w:rFonts w:hint="eastAsia" w:ascii="黑体" w:hAnsi="黑体" w:eastAsia="黑体" w:cs="Times New Roman"/>
                <w:snapToGrid w:val="0"/>
                <w:spacing w:val="-16"/>
                <w:kern w:val="21"/>
                <w:szCs w:val="21"/>
              </w:rPr>
              <w:t>物</w:t>
            </w:r>
            <w:r>
              <w:rPr>
                <w:rFonts w:ascii="黑体" w:hAnsi="黑体" w:eastAsia="黑体" w:cs="Times New Roman"/>
                <w:snapToGrid w:val="0"/>
                <w:spacing w:val="-16"/>
                <w:kern w:val="21"/>
                <w:szCs w:val="21"/>
              </w:rPr>
              <w:t>产生量）</w:t>
            </w:r>
            <w:r>
              <w:rPr>
                <w:rFonts w:ascii="黑体" w:hAnsi="黑体" w:eastAsia="黑体" w:cs="Times New Roman"/>
                <w:snapToGrid w:val="0"/>
                <w:spacing w:val="-16"/>
                <w:kern w:val="21"/>
                <w:szCs w:val="21"/>
              </w:rPr>
              <w:fldChar w:fldCharType="begin"/>
            </w:r>
            <w:r>
              <w:rPr>
                <w:rFonts w:ascii="黑体" w:hAnsi="黑体" w:eastAsia="黑体" w:cs="Times New Roman"/>
                <w:snapToGrid w:val="0"/>
                <w:spacing w:val="-16"/>
                <w:kern w:val="21"/>
                <w:szCs w:val="21"/>
              </w:rPr>
              <w:instrText xml:space="preserve"> = 6 \* GB3 \* MERGEFORMAT </w:instrText>
            </w:r>
            <w:r>
              <w:rPr>
                <w:rFonts w:ascii="黑体" w:hAnsi="黑体" w:eastAsia="黑体" w:cs="Times New Roman"/>
                <w:snapToGrid w:val="0"/>
                <w:spacing w:val="-16"/>
                <w:kern w:val="21"/>
                <w:szCs w:val="21"/>
              </w:rPr>
              <w:fldChar w:fldCharType="separate"/>
            </w:r>
            <w:r>
              <w:rPr>
                <w:rFonts w:hint="eastAsia" w:ascii="黑体" w:hAnsi="黑体" w:eastAsia="黑体" w:cs="宋体"/>
                <w:szCs w:val="21"/>
              </w:rPr>
              <w:t>⑥</w:t>
            </w:r>
            <w:r>
              <w:rPr>
                <w:rFonts w:ascii="黑体" w:hAnsi="黑体" w:eastAsia="黑体" w:cs="Times New Roman"/>
                <w:snapToGrid w:val="0"/>
                <w:spacing w:val="-16"/>
                <w:kern w:val="21"/>
                <w:szCs w:val="21"/>
              </w:rPr>
              <w:fldChar w:fldCharType="end"/>
            </w:r>
          </w:p>
        </w:tc>
        <w:tc>
          <w:tcPr>
            <w:tcW w:w="826" w:type="dxa"/>
            <w:tcMar>
              <w:left w:w="28" w:type="dxa"/>
              <w:right w:w="28" w:type="dxa"/>
            </w:tcMar>
            <w:vAlign w:val="center"/>
          </w:tcPr>
          <w:p>
            <w:pPr>
              <w:adjustRightInd w:val="0"/>
              <w:snapToGrid w:val="0"/>
              <w:jc w:val="center"/>
              <w:rPr>
                <w:rFonts w:ascii="黑体" w:hAnsi="黑体" w:eastAsia="黑体" w:cs="Times New Roman"/>
                <w:snapToGrid w:val="0"/>
                <w:spacing w:val="-6"/>
                <w:kern w:val="21"/>
                <w:szCs w:val="21"/>
              </w:rPr>
            </w:pPr>
            <w:r>
              <w:rPr>
                <w:rFonts w:ascii="黑体" w:hAnsi="黑体" w:eastAsia="黑体" w:cs="Times New Roman"/>
                <w:snapToGrid w:val="0"/>
                <w:spacing w:val="-6"/>
                <w:kern w:val="21"/>
                <w:szCs w:val="21"/>
              </w:rPr>
              <w:t>变化量</w:t>
            </w:r>
          </w:p>
          <w:p>
            <w:pPr>
              <w:adjustRightInd w:val="0"/>
              <w:snapToGrid w:val="0"/>
              <w:jc w:val="center"/>
              <w:rPr>
                <w:rFonts w:ascii="黑体" w:hAnsi="黑体" w:eastAsia="黑体" w:cs="Times New Roman"/>
                <w:snapToGrid w:val="0"/>
                <w:spacing w:val="-6"/>
                <w:kern w:val="21"/>
                <w:szCs w:val="21"/>
              </w:rPr>
            </w:pPr>
            <w:r>
              <w:rPr>
                <w:rFonts w:ascii="黑体" w:hAnsi="黑体" w:eastAsia="黑体" w:cs="Times New Roman"/>
                <w:snapToGrid w:val="0"/>
                <w:spacing w:val="-6"/>
                <w:kern w:val="21"/>
                <w:szCs w:val="21"/>
              </w:rPr>
              <w:fldChar w:fldCharType="begin"/>
            </w:r>
            <w:r>
              <w:rPr>
                <w:rFonts w:ascii="黑体" w:hAnsi="黑体" w:eastAsia="黑体" w:cs="Times New Roman"/>
                <w:snapToGrid w:val="0"/>
                <w:spacing w:val="-6"/>
                <w:kern w:val="21"/>
                <w:szCs w:val="21"/>
              </w:rPr>
              <w:instrText xml:space="preserve"> = 7 \* GB3 \* MERGEFORMAT </w:instrText>
            </w:r>
            <w:r>
              <w:rPr>
                <w:rFonts w:ascii="黑体" w:hAnsi="黑体" w:eastAsia="黑体" w:cs="Times New Roman"/>
                <w:snapToGrid w:val="0"/>
                <w:spacing w:val="-6"/>
                <w:kern w:val="21"/>
                <w:szCs w:val="21"/>
              </w:rPr>
              <w:fldChar w:fldCharType="separate"/>
            </w:r>
            <w:r>
              <w:rPr>
                <w:rFonts w:hint="eastAsia" w:ascii="黑体" w:hAnsi="黑体" w:eastAsia="黑体" w:cs="宋体"/>
                <w:szCs w:val="21"/>
              </w:rPr>
              <w:t>⑦</w:t>
            </w:r>
            <w:r>
              <w:rPr>
                <w:rFonts w:ascii="黑体" w:hAnsi="黑体" w:eastAsia="黑体" w:cs="Times New Roman"/>
                <w:snapToGrid w:val="0"/>
                <w:spacing w:val="-6"/>
                <w:kern w:val="21"/>
                <w:szCs w:val="21"/>
              </w:rPr>
              <w:fldChar w:fldCharType="end"/>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Align w:val="center"/>
          </w:tcPr>
          <w:p>
            <w:pPr>
              <w:adjustRightInd w:val="0"/>
              <w:snapToGrid w:val="0"/>
              <w:jc w:val="center"/>
              <w:rPr>
                <w:rFonts w:ascii="宋体" w:hAnsi="宋体" w:eastAsia="宋体" w:cs="宋体"/>
                <w:snapToGrid w:val="0"/>
                <w:kern w:val="21"/>
                <w:szCs w:val="21"/>
              </w:rPr>
            </w:pPr>
            <w:r>
              <w:rPr>
                <w:rFonts w:hint="eastAsia" w:ascii="宋体" w:hAnsi="宋体" w:eastAsia="宋体" w:cs="宋体"/>
                <w:snapToGrid w:val="0"/>
                <w:kern w:val="21"/>
                <w:szCs w:val="21"/>
              </w:rPr>
              <w:t>废气</w:t>
            </w:r>
          </w:p>
        </w:tc>
        <w:tc>
          <w:tcPr>
            <w:tcW w:w="1417"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70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276"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70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559"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76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959"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826"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Align w:val="center"/>
          </w:tcPr>
          <w:p>
            <w:pPr>
              <w:adjustRightInd w:val="0"/>
              <w:snapToGrid w:val="0"/>
              <w:jc w:val="center"/>
              <w:rPr>
                <w:rFonts w:ascii="宋体" w:hAnsi="宋体" w:eastAsia="宋体" w:cs="宋体"/>
                <w:snapToGrid w:val="0"/>
                <w:kern w:val="21"/>
                <w:szCs w:val="21"/>
              </w:rPr>
            </w:pPr>
            <w:r>
              <w:rPr>
                <w:rFonts w:hint="eastAsia" w:ascii="宋体" w:hAnsi="宋体" w:eastAsia="宋体" w:cs="宋体"/>
                <w:snapToGrid w:val="0"/>
                <w:kern w:val="21"/>
                <w:szCs w:val="21"/>
              </w:rPr>
              <w:t>废水</w:t>
            </w:r>
          </w:p>
        </w:tc>
        <w:tc>
          <w:tcPr>
            <w:tcW w:w="1417"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70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276"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70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559"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76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959"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826"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restart"/>
            <w:vAlign w:val="center"/>
          </w:tcPr>
          <w:p>
            <w:pPr>
              <w:adjustRightInd w:val="0"/>
              <w:snapToGrid w:val="0"/>
              <w:jc w:val="center"/>
              <w:rPr>
                <w:rFonts w:ascii="宋体" w:hAnsi="宋体" w:eastAsia="宋体" w:cs="宋体"/>
                <w:snapToGrid w:val="0"/>
                <w:kern w:val="21"/>
                <w:szCs w:val="21"/>
              </w:rPr>
            </w:pPr>
            <w:r>
              <w:rPr>
                <w:rFonts w:hint="eastAsia" w:ascii="宋体" w:hAnsi="宋体" w:eastAsia="宋体" w:cs="宋体"/>
                <w:snapToGrid w:val="0"/>
                <w:kern w:val="21"/>
                <w:szCs w:val="21"/>
              </w:rPr>
              <w:t>一般工业</w:t>
            </w:r>
          </w:p>
          <w:p>
            <w:pPr>
              <w:adjustRightInd w:val="0"/>
              <w:snapToGrid w:val="0"/>
              <w:jc w:val="center"/>
              <w:rPr>
                <w:rFonts w:ascii="宋体" w:hAnsi="宋体" w:eastAsia="宋体" w:cs="宋体"/>
                <w:snapToGrid w:val="0"/>
                <w:kern w:val="21"/>
                <w:szCs w:val="21"/>
              </w:rPr>
            </w:pPr>
            <w:r>
              <w:rPr>
                <w:rFonts w:hint="eastAsia" w:ascii="宋体" w:hAnsi="宋体" w:eastAsia="宋体" w:cs="宋体"/>
                <w:snapToGrid w:val="0"/>
                <w:kern w:val="21"/>
                <w:szCs w:val="21"/>
              </w:rPr>
              <w:t>固体废物</w:t>
            </w:r>
          </w:p>
        </w:tc>
        <w:tc>
          <w:tcPr>
            <w:tcW w:w="1417" w:type="dxa"/>
            <w:vAlign w:val="center"/>
          </w:tcPr>
          <w:p>
            <w:pPr>
              <w:adjustRightInd w:val="0"/>
              <w:snapToGrid w:val="0"/>
              <w:jc w:val="center"/>
              <w:rPr>
                <w:rFonts w:ascii="Times New Roman" w:hAnsi="Times New Roman" w:eastAsia="宋体" w:cs="Times New Roman"/>
                <w:snapToGrid w:val="0"/>
                <w:kern w:val="21"/>
                <w:szCs w:val="21"/>
              </w:rPr>
            </w:pPr>
            <w:r>
              <w:rPr>
                <w:rFonts w:hint="eastAsia" w:ascii="Times New Roman" w:hAnsi="Times New Roman" w:eastAsia="宋体" w:cs="Times New Roman"/>
                <w:kern w:val="24"/>
                <w:szCs w:val="21"/>
              </w:rPr>
              <w:t>絮凝沉淀物</w:t>
            </w:r>
          </w:p>
        </w:tc>
        <w:tc>
          <w:tcPr>
            <w:tcW w:w="170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276"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70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559" w:type="dxa"/>
            <w:vAlign w:val="center"/>
          </w:tcPr>
          <w:p>
            <w:pPr>
              <w:adjustRightInd w:val="0"/>
              <w:snapToGrid w:val="0"/>
              <w:jc w:val="center"/>
              <w:rPr>
                <w:rFonts w:ascii="Times New Roman" w:hAnsi="Times New Roman" w:eastAsia="宋体" w:cs="Times New Roman"/>
                <w:snapToGrid w:val="0"/>
                <w:kern w:val="21"/>
                <w:szCs w:val="21"/>
              </w:rPr>
            </w:pPr>
            <w:r>
              <w:rPr>
                <w:rFonts w:hint="eastAsia" w:ascii="Times New Roman" w:hAnsi="Times New Roman" w:eastAsia="宋体" w:cs="Times New Roman"/>
                <w:snapToGrid w:val="0"/>
                <w:kern w:val="21"/>
                <w:szCs w:val="21"/>
              </w:rPr>
              <w:t>899</w:t>
            </w:r>
          </w:p>
        </w:tc>
        <w:tc>
          <w:tcPr>
            <w:tcW w:w="176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959" w:type="dxa"/>
            <w:vAlign w:val="center"/>
          </w:tcPr>
          <w:p>
            <w:pPr>
              <w:adjustRightInd w:val="0"/>
              <w:snapToGrid w:val="0"/>
              <w:jc w:val="center"/>
              <w:rPr>
                <w:rFonts w:ascii="Times New Roman" w:hAnsi="Times New Roman" w:eastAsia="宋体" w:cs="Times New Roman"/>
                <w:snapToGrid w:val="0"/>
                <w:kern w:val="21"/>
                <w:szCs w:val="21"/>
              </w:rPr>
            </w:pPr>
            <w:r>
              <w:rPr>
                <w:rFonts w:hint="eastAsia" w:ascii="Times New Roman" w:hAnsi="Times New Roman" w:eastAsia="宋体" w:cs="Times New Roman"/>
                <w:snapToGrid w:val="0"/>
                <w:kern w:val="21"/>
                <w:szCs w:val="21"/>
              </w:rPr>
              <w:t>899</w:t>
            </w:r>
          </w:p>
        </w:tc>
        <w:tc>
          <w:tcPr>
            <w:tcW w:w="826"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kern w:val="0"/>
                <w:szCs w:val="21"/>
              </w:rPr>
              <w:t>+</w:t>
            </w:r>
            <w:r>
              <w:rPr>
                <w:rFonts w:hint="eastAsia" w:ascii="Times New Roman" w:hAnsi="Times New Roman" w:eastAsia="宋体" w:cs="Times New Roman"/>
                <w:kern w:val="0"/>
                <w:szCs w:val="21"/>
              </w:rPr>
              <w:t>899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vAlign w:val="center"/>
          </w:tcPr>
          <w:p>
            <w:pPr>
              <w:adjustRightInd w:val="0"/>
              <w:snapToGrid w:val="0"/>
              <w:jc w:val="center"/>
              <w:rPr>
                <w:rFonts w:ascii="宋体" w:hAnsi="宋体" w:eastAsia="宋体" w:cs="宋体"/>
                <w:snapToGrid w:val="0"/>
                <w:kern w:val="21"/>
                <w:szCs w:val="21"/>
              </w:rPr>
            </w:pPr>
          </w:p>
        </w:tc>
        <w:tc>
          <w:tcPr>
            <w:tcW w:w="1417" w:type="dxa"/>
            <w:vAlign w:val="center"/>
          </w:tcPr>
          <w:p>
            <w:pPr>
              <w:adjustRightInd w:val="0"/>
              <w:snapToGrid w:val="0"/>
              <w:jc w:val="center"/>
              <w:rPr>
                <w:rFonts w:ascii="Times New Roman" w:hAnsi="Times New Roman" w:eastAsia="宋体" w:cs="Times New Roman"/>
                <w:kern w:val="24"/>
                <w:szCs w:val="21"/>
              </w:rPr>
            </w:pPr>
            <w:r>
              <w:rPr>
                <w:rFonts w:hint="eastAsia" w:ascii="Times New Roman" w:hAnsi="Times New Roman" w:eastAsia="宋体" w:cs="Times New Roman"/>
                <w:kern w:val="24"/>
                <w:szCs w:val="21"/>
              </w:rPr>
              <w:t>废包装袋</w:t>
            </w:r>
          </w:p>
        </w:tc>
        <w:tc>
          <w:tcPr>
            <w:tcW w:w="170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276"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70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559" w:type="dxa"/>
            <w:vAlign w:val="center"/>
          </w:tcPr>
          <w:p>
            <w:pPr>
              <w:adjustRightInd w:val="0"/>
              <w:snapToGrid w:val="0"/>
              <w:jc w:val="center"/>
              <w:rPr>
                <w:rFonts w:ascii="Times New Roman" w:hAnsi="Times New Roman" w:eastAsia="宋体" w:cs="Times New Roman"/>
                <w:snapToGrid w:val="0"/>
                <w:kern w:val="21"/>
                <w:szCs w:val="21"/>
              </w:rPr>
            </w:pPr>
            <w:r>
              <w:rPr>
                <w:rFonts w:hint="eastAsia" w:ascii="Times New Roman" w:hAnsi="Times New Roman" w:eastAsia="宋体" w:cs="Times New Roman"/>
                <w:snapToGrid w:val="0"/>
                <w:kern w:val="21"/>
                <w:szCs w:val="21"/>
              </w:rPr>
              <w:t>5</w:t>
            </w:r>
          </w:p>
        </w:tc>
        <w:tc>
          <w:tcPr>
            <w:tcW w:w="176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959" w:type="dxa"/>
            <w:vAlign w:val="center"/>
          </w:tcPr>
          <w:p>
            <w:pPr>
              <w:adjustRightInd w:val="0"/>
              <w:snapToGrid w:val="0"/>
              <w:jc w:val="center"/>
              <w:rPr>
                <w:rFonts w:ascii="Times New Roman" w:hAnsi="Times New Roman" w:eastAsia="宋体" w:cs="Times New Roman"/>
                <w:snapToGrid w:val="0"/>
                <w:kern w:val="21"/>
                <w:szCs w:val="21"/>
              </w:rPr>
            </w:pPr>
            <w:r>
              <w:rPr>
                <w:rFonts w:hint="eastAsia" w:ascii="Times New Roman" w:hAnsi="Times New Roman" w:eastAsia="宋体" w:cs="Times New Roman"/>
                <w:snapToGrid w:val="0"/>
                <w:kern w:val="21"/>
                <w:szCs w:val="21"/>
              </w:rPr>
              <w:t>5</w:t>
            </w:r>
          </w:p>
        </w:tc>
        <w:tc>
          <w:tcPr>
            <w:tcW w:w="826"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kern w:val="0"/>
                <w:szCs w:val="21"/>
              </w:rPr>
              <w:t>+</w:t>
            </w:r>
            <w:r>
              <w:rPr>
                <w:rFonts w:hint="eastAsia" w:ascii="Times New Roman" w:hAnsi="Times New Roman" w:eastAsia="宋体" w:cs="Times New Roman"/>
                <w:snapToGrid w:val="0"/>
                <w:kern w:val="21"/>
                <w:szCs w:val="21"/>
              </w:rPr>
              <w:t>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vAlign w:val="center"/>
          </w:tcPr>
          <w:p>
            <w:pPr>
              <w:adjustRightInd w:val="0"/>
              <w:snapToGrid w:val="0"/>
              <w:jc w:val="center"/>
              <w:rPr>
                <w:rFonts w:ascii="宋体" w:hAnsi="宋体" w:eastAsia="宋体" w:cs="宋体"/>
                <w:snapToGrid w:val="0"/>
                <w:kern w:val="21"/>
                <w:szCs w:val="21"/>
              </w:rPr>
            </w:pPr>
          </w:p>
        </w:tc>
        <w:tc>
          <w:tcPr>
            <w:tcW w:w="1417" w:type="dxa"/>
            <w:vAlign w:val="center"/>
          </w:tcPr>
          <w:p>
            <w:pPr>
              <w:adjustRightInd w:val="0"/>
              <w:snapToGrid w:val="0"/>
              <w:jc w:val="center"/>
              <w:rPr>
                <w:rFonts w:ascii="Times New Roman" w:hAnsi="Times New Roman" w:eastAsia="宋体" w:cs="Times New Roman"/>
                <w:kern w:val="24"/>
                <w:szCs w:val="21"/>
              </w:rPr>
            </w:pPr>
            <w:r>
              <w:rPr>
                <w:rFonts w:hint="eastAsia" w:ascii="Times New Roman" w:hAnsi="Times New Roman" w:eastAsia="宋体" w:cs="Times New Roman"/>
                <w:kern w:val="24"/>
                <w:szCs w:val="21"/>
              </w:rPr>
              <w:t>植物油渣</w:t>
            </w:r>
          </w:p>
        </w:tc>
        <w:tc>
          <w:tcPr>
            <w:tcW w:w="170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276"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70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559" w:type="dxa"/>
            <w:vAlign w:val="center"/>
          </w:tcPr>
          <w:p>
            <w:pPr>
              <w:adjustRightInd w:val="0"/>
              <w:snapToGrid w:val="0"/>
              <w:jc w:val="center"/>
              <w:rPr>
                <w:rFonts w:ascii="Times New Roman" w:hAnsi="Times New Roman" w:eastAsia="宋体" w:cs="Times New Roman"/>
                <w:snapToGrid w:val="0"/>
                <w:kern w:val="21"/>
                <w:szCs w:val="21"/>
              </w:rPr>
            </w:pPr>
            <w:r>
              <w:rPr>
                <w:rFonts w:hint="eastAsia" w:ascii="Times New Roman" w:hAnsi="Times New Roman" w:eastAsia="宋体" w:cs="Times New Roman"/>
                <w:snapToGrid w:val="0"/>
                <w:kern w:val="21"/>
                <w:szCs w:val="21"/>
              </w:rPr>
              <w:t>1</w:t>
            </w:r>
          </w:p>
        </w:tc>
        <w:tc>
          <w:tcPr>
            <w:tcW w:w="176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959" w:type="dxa"/>
            <w:vAlign w:val="center"/>
          </w:tcPr>
          <w:p>
            <w:pPr>
              <w:adjustRightInd w:val="0"/>
              <w:snapToGrid w:val="0"/>
              <w:jc w:val="center"/>
              <w:rPr>
                <w:rFonts w:ascii="Times New Roman" w:hAnsi="Times New Roman" w:eastAsia="宋体" w:cs="Times New Roman"/>
                <w:snapToGrid w:val="0"/>
                <w:kern w:val="21"/>
                <w:szCs w:val="21"/>
              </w:rPr>
            </w:pPr>
            <w:r>
              <w:rPr>
                <w:rFonts w:hint="eastAsia" w:ascii="Times New Roman" w:hAnsi="Times New Roman" w:eastAsia="宋体" w:cs="Times New Roman"/>
                <w:snapToGrid w:val="0"/>
                <w:kern w:val="21"/>
                <w:szCs w:val="21"/>
              </w:rPr>
              <w:t>1</w:t>
            </w:r>
          </w:p>
        </w:tc>
        <w:tc>
          <w:tcPr>
            <w:tcW w:w="826"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kern w:val="0"/>
                <w:szCs w:val="21"/>
              </w:rPr>
              <w:t>+</w:t>
            </w:r>
            <w:r>
              <w:rPr>
                <w:rFonts w:hint="eastAsia" w:ascii="Times New Roman" w:hAnsi="Times New Roman" w:eastAsia="宋体" w:cs="Times New Roman"/>
                <w:snapToGrid w:val="0"/>
                <w:kern w:val="21"/>
                <w:szCs w:val="21"/>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vAlign w:val="center"/>
          </w:tcPr>
          <w:p>
            <w:pPr>
              <w:adjustRightInd w:val="0"/>
              <w:snapToGrid w:val="0"/>
              <w:jc w:val="center"/>
              <w:rPr>
                <w:rFonts w:ascii="宋体" w:hAnsi="宋体" w:eastAsia="宋体" w:cs="宋体"/>
                <w:snapToGrid w:val="0"/>
                <w:kern w:val="21"/>
                <w:szCs w:val="21"/>
              </w:rPr>
            </w:pPr>
          </w:p>
        </w:tc>
        <w:tc>
          <w:tcPr>
            <w:tcW w:w="1417" w:type="dxa"/>
            <w:vAlign w:val="center"/>
          </w:tcPr>
          <w:p>
            <w:pPr>
              <w:adjustRightInd w:val="0"/>
              <w:snapToGrid w:val="0"/>
              <w:jc w:val="center"/>
              <w:rPr>
                <w:rFonts w:ascii="Times New Roman" w:hAnsi="Times New Roman" w:eastAsia="宋体" w:cs="Times New Roman"/>
                <w:kern w:val="24"/>
                <w:szCs w:val="21"/>
              </w:rPr>
            </w:pPr>
            <w:r>
              <w:rPr>
                <w:rFonts w:hint="eastAsia" w:ascii="Times New Roman" w:hAnsi="Times New Roman" w:eastAsia="宋体" w:cs="Times New Roman"/>
                <w:kern w:val="24"/>
                <w:szCs w:val="21"/>
              </w:rPr>
              <w:t>其他材质的瓶子</w:t>
            </w:r>
            <w:r>
              <w:rPr>
                <w:rFonts w:hint="eastAsia" w:ascii="Times New Roman" w:hAnsi="Times New Roman" w:eastAsia="宋体" w:cs="Times New Roman"/>
                <w:kern w:val="24"/>
                <w:szCs w:val="21"/>
              </w:rPr>
              <w:tab/>
            </w:r>
          </w:p>
        </w:tc>
        <w:tc>
          <w:tcPr>
            <w:tcW w:w="170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276" w:type="dxa"/>
            <w:vAlign w:val="center"/>
          </w:tcPr>
          <w:p>
            <w:pPr>
              <w:adjustRightInd w:val="0"/>
              <w:snapToGrid w:val="0"/>
              <w:jc w:val="center"/>
              <w:rPr>
                <w:rFonts w:ascii="Times New Roman" w:hAnsi="Times New Roman" w:eastAsia="宋体" w:cs="Times New Roman"/>
                <w:snapToGrid w:val="0"/>
                <w:kern w:val="21"/>
                <w:szCs w:val="21"/>
              </w:rPr>
            </w:pPr>
            <w:r>
              <w:rPr>
                <w:rFonts w:hint="eastAsia" w:ascii="Times New Roman" w:hAnsi="Times New Roman" w:eastAsia="宋体" w:cs="Times New Roman"/>
                <w:snapToGrid w:val="0"/>
                <w:kern w:val="21"/>
                <w:szCs w:val="21"/>
              </w:rPr>
              <w:t>/</w:t>
            </w:r>
          </w:p>
        </w:tc>
        <w:tc>
          <w:tcPr>
            <w:tcW w:w="170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559" w:type="dxa"/>
            <w:vAlign w:val="center"/>
          </w:tcPr>
          <w:p>
            <w:pPr>
              <w:adjustRightInd w:val="0"/>
              <w:snapToGrid w:val="0"/>
              <w:jc w:val="center"/>
              <w:rPr>
                <w:rFonts w:ascii="Times New Roman" w:hAnsi="Times New Roman" w:eastAsia="宋体" w:cs="Times New Roman"/>
                <w:snapToGrid w:val="0"/>
                <w:kern w:val="21"/>
                <w:szCs w:val="21"/>
              </w:rPr>
            </w:pPr>
            <w:r>
              <w:rPr>
                <w:rFonts w:hint="eastAsia" w:ascii="Times New Roman" w:hAnsi="Times New Roman" w:eastAsia="宋体" w:cs="Times New Roman"/>
                <w:snapToGrid w:val="0"/>
                <w:kern w:val="21"/>
                <w:szCs w:val="21"/>
              </w:rPr>
              <w:t>10</w:t>
            </w:r>
          </w:p>
        </w:tc>
        <w:tc>
          <w:tcPr>
            <w:tcW w:w="176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959" w:type="dxa"/>
            <w:vAlign w:val="center"/>
          </w:tcPr>
          <w:p>
            <w:pPr>
              <w:adjustRightInd w:val="0"/>
              <w:snapToGrid w:val="0"/>
              <w:jc w:val="center"/>
              <w:rPr>
                <w:rFonts w:ascii="Times New Roman" w:hAnsi="Times New Roman" w:eastAsia="宋体" w:cs="Times New Roman"/>
                <w:snapToGrid w:val="0"/>
                <w:kern w:val="21"/>
                <w:szCs w:val="21"/>
              </w:rPr>
            </w:pPr>
            <w:r>
              <w:rPr>
                <w:rFonts w:hint="eastAsia" w:ascii="Times New Roman" w:hAnsi="Times New Roman" w:eastAsia="宋体" w:cs="Times New Roman"/>
                <w:snapToGrid w:val="0"/>
                <w:kern w:val="21"/>
                <w:szCs w:val="21"/>
              </w:rPr>
              <w:t>10</w:t>
            </w:r>
          </w:p>
        </w:tc>
        <w:tc>
          <w:tcPr>
            <w:tcW w:w="826"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kern w:val="0"/>
                <w:szCs w:val="21"/>
              </w:rPr>
              <w:t>+</w:t>
            </w:r>
            <w:r>
              <w:rPr>
                <w:rFonts w:hint="eastAsia" w:ascii="Times New Roman" w:hAnsi="Times New Roman" w:eastAsia="宋体" w:cs="Times New Roman"/>
                <w:snapToGrid w:val="0"/>
                <w:kern w:val="21"/>
                <w:szCs w:val="21"/>
              </w:rPr>
              <w:t>10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restart"/>
            <w:vAlign w:val="center"/>
          </w:tcPr>
          <w:p>
            <w:pPr>
              <w:adjustRightInd w:val="0"/>
              <w:snapToGrid w:val="0"/>
              <w:jc w:val="center"/>
              <w:rPr>
                <w:rFonts w:ascii="宋体" w:hAnsi="宋体" w:eastAsia="宋体" w:cs="宋体"/>
                <w:snapToGrid w:val="0"/>
                <w:kern w:val="21"/>
                <w:szCs w:val="21"/>
              </w:rPr>
            </w:pPr>
            <w:r>
              <w:rPr>
                <w:rFonts w:hint="eastAsia" w:ascii="宋体" w:hAnsi="宋体" w:eastAsia="宋体" w:cs="宋体"/>
                <w:snapToGrid w:val="0"/>
                <w:kern w:val="21"/>
                <w:szCs w:val="21"/>
              </w:rPr>
              <w:t>危险废物</w:t>
            </w:r>
          </w:p>
        </w:tc>
        <w:tc>
          <w:tcPr>
            <w:tcW w:w="1417"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宋体" w:eastAsia="宋体" w:cs="Times New Roman"/>
                <w:snapToGrid w:val="0"/>
                <w:kern w:val="21"/>
                <w:szCs w:val="21"/>
              </w:rPr>
              <w:t>废机油</w:t>
            </w:r>
          </w:p>
        </w:tc>
        <w:tc>
          <w:tcPr>
            <w:tcW w:w="170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276"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70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559"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0.0</w:t>
            </w:r>
            <w:r>
              <w:rPr>
                <w:rFonts w:hint="eastAsia" w:ascii="Times New Roman" w:hAnsi="Times New Roman" w:eastAsia="宋体" w:cs="Times New Roman"/>
                <w:snapToGrid w:val="0"/>
                <w:kern w:val="21"/>
                <w:szCs w:val="21"/>
              </w:rPr>
              <w:t>2</w:t>
            </w:r>
          </w:p>
        </w:tc>
        <w:tc>
          <w:tcPr>
            <w:tcW w:w="176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0</w:t>
            </w:r>
          </w:p>
        </w:tc>
        <w:tc>
          <w:tcPr>
            <w:tcW w:w="1959"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0.0</w:t>
            </w:r>
            <w:r>
              <w:rPr>
                <w:rFonts w:hint="eastAsia" w:ascii="Times New Roman" w:hAnsi="Times New Roman" w:eastAsia="宋体" w:cs="Times New Roman"/>
                <w:snapToGrid w:val="0"/>
                <w:kern w:val="21"/>
                <w:szCs w:val="21"/>
              </w:rPr>
              <w:t>2</w:t>
            </w:r>
          </w:p>
        </w:tc>
        <w:tc>
          <w:tcPr>
            <w:tcW w:w="826"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+0.0</w:t>
            </w:r>
            <w:r>
              <w:rPr>
                <w:rFonts w:hint="eastAsia" w:ascii="Times New Roman" w:hAnsi="Times New Roman" w:eastAsia="宋体" w:cs="Times New Roman"/>
                <w:snapToGrid w:val="0"/>
                <w:kern w:val="21"/>
                <w:szCs w:val="21"/>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vAlign w:val="center"/>
          </w:tcPr>
          <w:p>
            <w:pPr>
              <w:adjustRightInd w:val="0"/>
              <w:snapToGrid w:val="0"/>
              <w:jc w:val="center"/>
              <w:rPr>
                <w:rFonts w:ascii="宋体" w:hAnsi="宋体" w:eastAsia="宋体" w:cs="宋体"/>
                <w:snapToGrid w:val="0"/>
                <w:kern w:val="21"/>
                <w:szCs w:val="21"/>
              </w:rPr>
            </w:pPr>
          </w:p>
        </w:tc>
        <w:tc>
          <w:tcPr>
            <w:tcW w:w="1417"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宋体" w:eastAsia="宋体" w:cs="Times New Roman"/>
                <w:snapToGrid w:val="0"/>
                <w:kern w:val="21"/>
                <w:szCs w:val="21"/>
              </w:rPr>
              <w:t>废机油桶</w:t>
            </w:r>
          </w:p>
        </w:tc>
        <w:tc>
          <w:tcPr>
            <w:tcW w:w="170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276"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70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w:t>
            </w:r>
          </w:p>
        </w:tc>
        <w:tc>
          <w:tcPr>
            <w:tcW w:w="1559"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0.0</w:t>
            </w:r>
            <w:r>
              <w:rPr>
                <w:rFonts w:hint="eastAsia" w:ascii="Times New Roman" w:hAnsi="Times New Roman" w:eastAsia="宋体" w:cs="Times New Roman"/>
                <w:snapToGrid w:val="0"/>
                <w:kern w:val="21"/>
                <w:szCs w:val="21"/>
              </w:rPr>
              <w:t>01</w:t>
            </w:r>
          </w:p>
        </w:tc>
        <w:tc>
          <w:tcPr>
            <w:tcW w:w="1761"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0</w:t>
            </w:r>
          </w:p>
        </w:tc>
        <w:tc>
          <w:tcPr>
            <w:tcW w:w="1959"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0.0</w:t>
            </w:r>
            <w:r>
              <w:rPr>
                <w:rFonts w:hint="eastAsia" w:ascii="Times New Roman" w:hAnsi="Times New Roman" w:eastAsia="宋体" w:cs="Times New Roman"/>
                <w:snapToGrid w:val="0"/>
                <w:kern w:val="21"/>
                <w:szCs w:val="21"/>
              </w:rPr>
              <w:t>01</w:t>
            </w:r>
          </w:p>
        </w:tc>
        <w:tc>
          <w:tcPr>
            <w:tcW w:w="826" w:type="dxa"/>
            <w:vAlign w:val="center"/>
          </w:tcPr>
          <w:p>
            <w:pPr>
              <w:adjustRightInd w:val="0"/>
              <w:snapToGrid w:val="0"/>
              <w:jc w:val="center"/>
              <w:rPr>
                <w:rFonts w:ascii="Times New Roman" w:hAnsi="Times New Roman" w:eastAsia="宋体" w:cs="Times New Roman"/>
                <w:snapToGrid w:val="0"/>
                <w:kern w:val="21"/>
                <w:szCs w:val="21"/>
              </w:rPr>
            </w:pPr>
            <w:r>
              <w:rPr>
                <w:rFonts w:ascii="Times New Roman" w:hAnsi="Times New Roman" w:eastAsia="宋体" w:cs="Times New Roman"/>
                <w:snapToGrid w:val="0"/>
                <w:kern w:val="21"/>
                <w:szCs w:val="21"/>
              </w:rPr>
              <w:t>+0.0</w:t>
            </w:r>
            <w:r>
              <w:rPr>
                <w:rFonts w:hint="eastAsia" w:ascii="Times New Roman" w:hAnsi="Times New Roman" w:eastAsia="宋体" w:cs="Times New Roman"/>
                <w:snapToGrid w:val="0"/>
                <w:kern w:val="21"/>
                <w:szCs w:val="21"/>
              </w:rPr>
              <w:t>01</w:t>
            </w:r>
          </w:p>
        </w:tc>
      </w:tr>
    </w:tbl>
    <w:p>
      <w:pPr>
        <w:adjustRightInd w:val="0"/>
        <w:snapToGrid w:val="0"/>
        <w:spacing w:before="192" w:beforeLines="80" w:after="24" w:afterLines="10" w:line="259" w:lineRule="auto"/>
        <w:ind w:firstLine="420"/>
        <w:jc w:val="left"/>
        <w:rPr>
          <w:rFonts w:ascii="宋体" w:hAnsi="宋体" w:eastAsia="宋体" w:cs="Times New Roman"/>
          <w:snapToGrid w:val="0"/>
          <w:spacing w:val="-6"/>
          <w:kern w:val="21"/>
          <w:szCs w:val="21"/>
        </w:rPr>
      </w:pPr>
      <w:r>
        <w:rPr>
          <w:rFonts w:ascii="宋体" w:hAnsi="宋体" w:eastAsia="宋体" w:cs="Times New Roman"/>
          <w:snapToGrid w:val="0"/>
          <w:kern w:val="21"/>
          <w:szCs w:val="21"/>
        </w:rPr>
        <w:t>注：</w:t>
      </w:r>
      <w:r>
        <w:rPr>
          <w:rFonts w:ascii="宋体" w:hAnsi="宋体" w:eastAsia="宋体" w:cs="Times New Roman"/>
          <w:snapToGrid w:val="0"/>
          <w:spacing w:val="-16"/>
          <w:kern w:val="21"/>
          <w:szCs w:val="21"/>
        </w:rPr>
        <w:fldChar w:fldCharType="begin"/>
      </w:r>
      <w:r>
        <w:rPr>
          <w:rFonts w:ascii="宋体" w:hAnsi="宋体" w:eastAsia="宋体" w:cs="Times New Roman"/>
          <w:snapToGrid w:val="0"/>
          <w:spacing w:val="-16"/>
          <w:kern w:val="21"/>
          <w:szCs w:val="21"/>
        </w:rPr>
        <w:instrText xml:space="preserve"> = 6 \* GB3 \* MERGEFORMAT </w:instrText>
      </w:r>
      <w:r>
        <w:rPr>
          <w:rFonts w:ascii="宋体" w:hAnsi="宋体" w:eastAsia="宋体" w:cs="Times New Roman"/>
          <w:snapToGrid w:val="0"/>
          <w:spacing w:val="-16"/>
          <w:kern w:val="21"/>
          <w:szCs w:val="21"/>
        </w:rPr>
        <w:fldChar w:fldCharType="separate"/>
      </w:r>
      <w:r>
        <w:rPr>
          <w:rFonts w:hint="eastAsia" w:ascii="宋体" w:hAnsi="宋体" w:eastAsia="宋体" w:cs="Times New Roman"/>
          <w:kern w:val="0"/>
          <w:szCs w:val="21"/>
        </w:rPr>
        <w:t>⑥</w:t>
      </w:r>
      <w:r>
        <w:rPr>
          <w:rFonts w:ascii="宋体" w:hAnsi="宋体" w:eastAsia="宋体" w:cs="Times New Roman"/>
          <w:snapToGrid w:val="0"/>
          <w:spacing w:val="-16"/>
          <w:kern w:val="21"/>
          <w:szCs w:val="21"/>
        </w:rPr>
        <w:fldChar w:fldCharType="end"/>
      </w:r>
      <w:r>
        <w:rPr>
          <w:rFonts w:ascii="宋体" w:hAnsi="宋体" w:eastAsia="宋体" w:cs="Times New Roman"/>
          <w:snapToGrid w:val="0"/>
          <w:spacing w:val="-16"/>
          <w:kern w:val="21"/>
          <w:szCs w:val="21"/>
        </w:rPr>
        <w:t>=</w:t>
      </w:r>
      <w:r>
        <w:rPr>
          <w:rFonts w:ascii="宋体" w:hAnsi="宋体" w:eastAsia="宋体" w:cs="Times New Roman"/>
          <w:snapToGrid w:val="0"/>
          <w:spacing w:val="-6"/>
          <w:kern w:val="21"/>
          <w:szCs w:val="21"/>
        </w:rPr>
        <w:fldChar w:fldCharType="begin"/>
      </w:r>
      <w:r>
        <w:rPr>
          <w:rFonts w:ascii="宋体" w:hAnsi="宋体" w:eastAsia="宋体" w:cs="Times New Roman"/>
          <w:snapToGrid w:val="0"/>
          <w:spacing w:val="-6"/>
          <w:kern w:val="21"/>
          <w:szCs w:val="21"/>
        </w:rPr>
        <w:instrText xml:space="preserve"> = 1 \* GB3 \* MERGEFORMAT </w:instrText>
      </w:r>
      <w:r>
        <w:rPr>
          <w:rFonts w:ascii="宋体" w:hAnsi="宋体" w:eastAsia="宋体" w:cs="Times New Roman"/>
          <w:snapToGrid w:val="0"/>
          <w:spacing w:val="-6"/>
          <w:kern w:val="21"/>
          <w:szCs w:val="21"/>
        </w:rPr>
        <w:fldChar w:fldCharType="separate"/>
      </w:r>
      <w:r>
        <w:rPr>
          <w:rFonts w:hint="eastAsia" w:ascii="宋体" w:hAnsi="宋体" w:eastAsia="宋体" w:cs="Times New Roman"/>
          <w:kern w:val="0"/>
          <w:szCs w:val="21"/>
        </w:rPr>
        <w:t>①</w:t>
      </w:r>
      <w:r>
        <w:rPr>
          <w:rFonts w:ascii="宋体" w:hAnsi="宋体" w:eastAsia="宋体" w:cs="Times New Roman"/>
          <w:snapToGrid w:val="0"/>
          <w:spacing w:val="-6"/>
          <w:kern w:val="21"/>
          <w:szCs w:val="21"/>
        </w:rPr>
        <w:fldChar w:fldCharType="end"/>
      </w:r>
      <w:r>
        <w:rPr>
          <w:rFonts w:ascii="宋体" w:hAnsi="宋体" w:eastAsia="宋体" w:cs="Times New Roman"/>
          <w:snapToGrid w:val="0"/>
          <w:spacing w:val="-6"/>
          <w:kern w:val="21"/>
          <w:szCs w:val="21"/>
        </w:rPr>
        <w:t>+</w:t>
      </w:r>
      <w:r>
        <w:rPr>
          <w:rFonts w:ascii="宋体" w:hAnsi="宋体" w:eastAsia="宋体" w:cs="Times New Roman"/>
          <w:snapToGrid w:val="0"/>
          <w:spacing w:val="-6"/>
          <w:kern w:val="21"/>
          <w:szCs w:val="21"/>
        </w:rPr>
        <w:fldChar w:fldCharType="begin"/>
      </w:r>
      <w:r>
        <w:rPr>
          <w:rFonts w:ascii="宋体" w:hAnsi="宋体" w:eastAsia="宋体" w:cs="Times New Roman"/>
          <w:snapToGrid w:val="0"/>
          <w:spacing w:val="-6"/>
          <w:kern w:val="21"/>
          <w:szCs w:val="21"/>
        </w:rPr>
        <w:instrText xml:space="preserve"> = 3 \* GB3 \* MERGEFORMAT </w:instrText>
      </w:r>
      <w:r>
        <w:rPr>
          <w:rFonts w:ascii="宋体" w:hAnsi="宋体" w:eastAsia="宋体" w:cs="Times New Roman"/>
          <w:snapToGrid w:val="0"/>
          <w:spacing w:val="-6"/>
          <w:kern w:val="21"/>
          <w:szCs w:val="21"/>
        </w:rPr>
        <w:fldChar w:fldCharType="separate"/>
      </w:r>
      <w:r>
        <w:rPr>
          <w:rFonts w:hint="eastAsia" w:ascii="宋体" w:hAnsi="宋体" w:eastAsia="宋体" w:cs="Times New Roman"/>
          <w:kern w:val="0"/>
          <w:szCs w:val="21"/>
        </w:rPr>
        <w:t>③</w:t>
      </w:r>
      <w:r>
        <w:rPr>
          <w:rFonts w:ascii="宋体" w:hAnsi="宋体" w:eastAsia="宋体" w:cs="Times New Roman"/>
          <w:snapToGrid w:val="0"/>
          <w:spacing w:val="-6"/>
          <w:kern w:val="21"/>
          <w:szCs w:val="21"/>
        </w:rPr>
        <w:fldChar w:fldCharType="end"/>
      </w:r>
      <w:r>
        <w:rPr>
          <w:rFonts w:ascii="宋体" w:hAnsi="宋体" w:eastAsia="宋体" w:cs="Times New Roman"/>
          <w:snapToGrid w:val="0"/>
          <w:spacing w:val="-6"/>
          <w:kern w:val="21"/>
          <w:szCs w:val="21"/>
        </w:rPr>
        <w:t>+</w:t>
      </w:r>
      <w:r>
        <w:rPr>
          <w:rFonts w:ascii="宋体" w:hAnsi="宋体" w:eastAsia="宋体" w:cs="Times New Roman"/>
          <w:snapToGrid w:val="0"/>
          <w:spacing w:val="-6"/>
          <w:kern w:val="21"/>
          <w:szCs w:val="21"/>
        </w:rPr>
        <w:fldChar w:fldCharType="begin"/>
      </w:r>
      <w:r>
        <w:rPr>
          <w:rFonts w:ascii="宋体" w:hAnsi="宋体" w:eastAsia="宋体" w:cs="Times New Roman"/>
          <w:snapToGrid w:val="0"/>
          <w:spacing w:val="-6"/>
          <w:kern w:val="21"/>
          <w:szCs w:val="21"/>
        </w:rPr>
        <w:instrText xml:space="preserve"> = 4 \* GB3 \* MERGEFORMAT </w:instrText>
      </w:r>
      <w:r>
        <w:rPr>
          <w:rFonts w:ascii="宋体" w:hAnsi="宋体" w:eastAsia="宋体" w:cs="Times New Roman"/>
          <w:snapToGrid w:val="0"/>
          <w:spacing w:val="-6"/>
          <w:kern w:val="21"/>
          <w:szCs w:val="21"/>
        </w:rPr>
        <w:fldChar w:fldCharType="separate"/>
      </w:r>
      <w:r>
        <w:rPr>
          <w:rFonts w:hint="eastAsia" w:ascii="宋体" w:hAnsi="宋体" w:eastAsia="宋体" w:cs="Times New Roman"/>
          <w:kern w:val="0"/>
          <w:szCs w:val="21"/>
        </w:rPr>
        <w:t>④</w:t>
      </w:r>
      <w:r>
        <w:rPr>
          <w:rFonts w:ascii="宋体" w:hAnsi="宋体" w:eastAsia="宋体" w:cs="Times New Roman"/>
          <w:snapToGrid w:val="0"/>
          <w:spacing w:val="-6"/>
          <w:kern w:val="21"/>
          <w:szCs w:val="21"/>
        </w:rPr>
        <w:fldChar w:fldCharType="end"/>
      </w:r>
      <w:r>
        <w:rPr>
          <w:rFonts w:ascii="宋体" w:hAnsi="宋体" w:eastAsia="宋体" w:cs="Times New Roman"/>
          <w:snapToGrid w:val="0"/>
          <w:spacing w:val="-6"/>
          <w:kern w:val="21"/>
          <w:szCs w:val="21"/>
        </w:rPr>
        <w:t>-</w:t>
      </w:r>
      <w:r>
        <w:rPr>
          <w:rFonts w:ascii="宋体" w:hAnsi="宋体" w:eastAsia="宋体" w:cs="Times New Roman"/>
          <w:snapToGrid w:val="0"/>
          <w:spacing w:val="-16"/>
          <w:kern w:val="21"/>
          <w:szCs w:val="21"/>
        </w:rPr>
        <w:fldChar w:fldCharType="begin"/>
      </w:r>
      <w:r>
        <w:rPr>
          <w:rFonts w:ascii="宋体" w:hAnsi="宋体" w:eastAsia="宋体" w:cs="Times New Roman"/>
          <w:snapToGrid w:val="0"/>
          <w:spacing w:val="-16"/>
          <w:kern w:val="21"/>
          <w:szCs w:val="21"/>
        </w:rPr>
        <w:instrText xml:space="preserve"> = 5 \* GB3 \* MERGEFORMAT </w:instrText>
      </w:r>
      <w:r>
        <w:rPr>
          <w:rFonts w:ascii="宋体" w:hAnsi="宋体" w:eastAsia="宋体" w:cs="Times New Roman"/>
          <w:snapToGrid w:val="0"/>
          <w:spacing w:val="-16"/>
          <w:kern w:val="21"/>
          <w:szCs w:val="21"/>
        </w:rPr>
        <w:fldChar w:fldCharType="separate"/>
      </w:r>
      <w:r>
        <w:rPr>
          <w:rFonts w:hint="eastAsia" w:ascii="宋体" w:hAnsi="宋体" w:eastAsia="宋体" w:cs="Times New Roman"/>
          <w:kern w:val="0"/>
          <w:szCs w:val="21"/>
        </w:rPr>
        <w:t>⑤</w:t>
      </w:r>
      <w:r>
        <w:rPr>
          <w:rFonts w:ascii="宋体" w:hAnsi="宋体" w:eastAsia="宋体" w:cs="Times New Roman"/>
          <w:snapToGrid w:val="0"/>
          <w:spacing w:val="-16"/>
          <w:kern w:val="21"/>
          <w:szCs w:val="21"/>
        </w:rPr>
        <w:fldChar w:fldCharType="end"/>
      </w:r>
      <w:r>
        <w:rPr>
          <w:rFonts w:ascii="宋体" w:hAnsi="宋体" w:eastAsia="宋体" w:cs="Times New Roman"/>
          <w:snapToGrid w:val="0"/>
          <w:spacing w:val="-16"/>
          <w:kern w:val="21"/>
          <w:szCs w:val="21"/>
        </w:rPr>
        <w:t>；</w:t>
      </w:r>
      <w:r>
        <w:rPr>
          <w:rFonts w:ascii="宋体" w:hAnsi="宋体" w:eastAsia="宋体" w:cs="Times New Roman"/>
          <w:snapToGrid w:val="0"/>
          <w:spacing w:val="-6"/>
          <w:kern w:val="21"/>
          <w:szCs w:val="21"/>
        </w:rPr>
        <w:fldChar w:fldCharType="begin"/>
      </w:r>
      <w:r>
        <w:rPr>
          <w:rFonts w:ascii="宋体" w:hAnsi="宋体" w:eastAsia="宋体" w:cs="Times New Roman"/>
          <w:snapToGrid w:val="0"/>
          <w:spacing w:val="-6"/>
          <w:kern w:val="21"/>
          <w:szCs w:val="21"/>
        </w:rPr>
        <w:instrText xml:space="preserve"> = 7 \* GB3 \* MERGEFORMAT </w:instrText>
      </w:r>
      <w:r>
        <w:rPr>
          <w:rFonts w:ascii="宋体" w:hAnsi="宋体" w:eastAsia="宋体" w:cs="Times New Roman"/>
          <w:snapToGrid w:val="0"/>
          <w:spacing w:val="-6"/>
          <w:kern w:val="21"/>
          <w:szCs w:val="21"/>
        </w:rPr>
        <w:fldChar w:fldCharType="separate"/>
      </w:r>
      <w:r>
        <w:rPr>
          <w:rFonts w:hint="eastAsia" w:ascii="宋体" w:hAnsi="宋体" w:eastAsia="宋体" w:cs="Times New Roman"/>
          <w:kern w:val="0"/>
          <w:szCs w:val="21"/>
        </w:rPr>
        <w:t>⑦</w:t>
      </w:r>
      <w:r>
        <w:rPr>
          <w:rFonts w:ascii="宋体" w:hAnsi="宋体" w:eastAsia="宋体" w:cs="Times New Roman"/>
          <w:snapToGrid w:val="0"/>
          <w:spacing w:val="-6"/>
          <w:kern w:val="21"/>
          <w:szCs w:val="21"/>
        </w:rPr>
        <w:fldChar w:fldCharType="end"/>
      </w:r>
      <w:r>
        <w:rPr>
          <w:rFonts w:ascii="宋体" w:hAnsi="宋体" w:eastAsia="宋体" w:cs="Times New Roman"/>
          <w:snapToGrid w:val="0"/>
          <w:spacing w:val="-6"/>
          <w:kern w:val="21"/>
          <w:szCs w:val="21"/>
        </w:rPr>
        <w:t>=</w:t>
      </w:r>
      <w:r>
        <w:rPr>
          <w:rFonts w:ascii="宋体" w:hAnsi="宋体" w:eastAsia="宋体" w:cs="Times New Roman"/>
          <w:snapToGrid w:val="0"/>
          <w:spacing w:val="-16"/>
          <w:kern w:val="21"/>
          <w:szCs w:val="21"/>
        </w:rPr>
        <w:fldChar w:fldCharType="begin"/>
      </w:r>
      <w:r>
        <w:rPr>
          <w:rFonts w:ascii="宋体" w:hAnsi="宋体" w:eastAsia="宋体" w:cs="Times New Roman"/>
          <w:snapToGrid w:val="0"/>
          <w:spacing w:val="-16"/>
          <w:kern w:val="21"/>
          <w:szCs w:val="21"/>
        </w:rPr>
        <w:instrText xml:space="preserve"> = 6 \* GB3 \* MERGEFORMAT </w:instrText>
      </w:r>
      <w:r>
        <w:rPr>
          <w:rFonts w:ascii="宋体" w:hAnsi="宋体" w:eastAsia="宋体" w:cs="Times New Roman"/>
          <w:snapToGrid w:val="0"/>
          <w:spacing w:val="-16"/>
          <w:kern w:val="21"/>
          <w:szCs w:val="21"/>
        </w:rPr>
        <w:fldChar w:fldCharType="separate"/>
      </w:r>
      <w:r>
        <w:rPr>
          <w:rFonts w:hint="eastAsia" w:ascii="宋体" w:hAnsi="宋体" w:eastAsia="宋体" w:cs="Times New Roman"/>
          <w:kern w:val="0"/>
          <w:szCs w:val="21"/>
        </w:rPr>
        <w:t>⑥</w:t>
      </w:r>
      <w:r>
        <w:rPr>
          <w:rFonts w:ascii="宋体" w:hAnsi="宋体" w:eastAsia="宋体" w:cs="Times New Roman"/>
          <w:snapToGrid w:val="0"/>
          <w:spacing w:val="-16"/>
          <w:kern w:val="21"/>
          <w:szCs w:val="21"/>
        </w:rPr>
        <w:fldChar w:fldCharType="end"/>
      </w:r>
      <w:r>
        <w:rPr>
          <w:rFonts w:ascii="宋体" w:hAnsi="宋体" w:eastAsia="宋体" w:cs="Times New Roman"/>
          <w:snapToGrid w:val="0"/>
          <w:spacing w:val="-16"/>
          <w:kern w:val="21"/>
          <w:szCs w:val="21"/>
        </w:rPr>
        <w:t>-</w:t>
      </w:r>
      <w:r>
        <w:rPr>
          <w:rFonts w:ascii="宋体" w:hAnsi="宋体" w:eastAsia="宋体" w:cs="Times New Roman"/>
          <w:snapToGrid w:val="0"/>
          <w:spacing w:val="-6"/>
          <w:kern w:val="21"/>
          <w:szCs w:val="21"/>
        </w:rPr>
        <w:fldChar w:fldCharType="begin"/>
      </w:r>
      <w:r>
        <w:rPr>
          <w:rFonts w:ascii="宋体" w:hAnsi="宋体" w:eastAsia="宋体" w:cs="Times New Roman"/>
          <w:snapToGrid w:val="0"/>
          <w:spacing w:val="-6"/>
          <w:kern w:val="21"/>
          <w:szCs w:val="21"/>
        </w:rPr>
        <w:instrText xml:space="preserve"> = 1 \* GB3 \* MERGEFORMAT </w:instrText>
      </w:r>
      <w:r>
        <w:rPr>
          <w:rFonts w:ascii="宋体" w:hAnsi="宋体" w:eastAsia="宋体" w:cs="Times New Roman"/>
          <w:snapToGrid w:val="0"/>
          <w:spacing w:val="-6"/>
          <w:kern w:val="21"/>
          <w:szCs w:val="21"/>
        </w:rPr>
        <w:fldChar w:fldCharType="separate"/>
      </w:r>
      <w:r>
        <w:rPr>
          <w:rFonts w:hint="eastAsia" w:ascii="宋体" w:hAnsi="宋体" w:eastAsia="宋体" w:cs="Times New Roman"/>
          <w:kern w:val="0"/>
          <w:szCs w:val="21"/>
        </w:rPr>
        <w:t>①</w:t>
      </w:r>
      <w:r>
        <w:rPr>
          <w:rFonts w:ascii="宋体" w:hAnsi="宋体" w:eastAsia="宋体" w:cs="Times New Roman"/>
          <w:snapToGrid w:val="0"/>
          <w:spacing w:val="-6"/>
          <w:kern w:val="21"/>
          <w:szCs w:val="21"/>
        </w:rPr>
        <w:fldChar w:fldCharType="end"/>
      </w:r>
    </w:p>
    <w:sectPr>
      <w:footerReference r:id="rId9" w:type="default"/>
      <w:pgSz w:w="16838" w:h="11906" w:orient="landscape"/>
      <w:pgMar w:top="1701" w:right="1531" w:bottom="1701" w:left="1531" w:header="851" w:footer="851"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Math">
    <w:panose1 w:val="02040503050406030204"/>
    <w:charset w:val="00"/>
    <w:family w:val="roman"/>
    <w:pitch w:val="default"/>
    <w:sig w:usb0="E00002FF" w:usb1="420024FF" w:usb2="00000000" w:usb3="00000000" w:csb0="2000019F" w:csb1="00000000"/>
  </w:font>
  <w:font w:name="方正小标宋_GBK">
    <w:altName w:val="微软雅黑"/>
    <w:panose1 w:val="00000000000000000000"/>
    <w:charset w:val="00"/>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10" w:usb3="00000000" w:csb0="0004009F" w:csb1="00000000"/>
  </w:font>
  <w:font w:name="Wingdings 2">
    <w:altName w:val="Wingdings"/>
    <w:panose1 w:val="05020102010507070707"/>
    <w:charset w:val="02"/>
    <w:family w:val="roman"/>
    <w:pitch w:val="default"/>
    <w:sig w:usb0="00000000" w:usb1="00000000" w:usb2="00000000" w:usb3="00000000" w:csb0="80000000" w:csb1="00000000"/>
  </w:font>
  <w:font w:name="TimesNewRomanPSMT">
    <w:altName w:val="Times New Roman"/>
    <w:panose1 w:val="00000000000000000000"/>
    <w:charset w:val="86"/>
    <w:family w:val="auto"/>
    <w:pitch w:val="default"/>
    <w:sig w:usb0="00000000" w:usb1="00000000" w:usb2="00000010" w:usb3="00000000" w:csb0="00040000" w:csb1="00000000"/>
  </w:font>
  <w:font w:name="Helvetica">
    <w:altName w:val="Arial"/>
    <w:panose1 w:val="020B0604020202020204"/>
    <w:charset w:val="00"/>
    <w:family w:val="swiss"/>
    <w:pitch w:val="default"/>
    <w:sig w:usb0="00000000" w:usb1="00000000" w:usb2="00000000" w:usb3="00000000" w:csb0="00000001" w:csb1="00000000"/>
  </w:font>
  <w:font w:name="等线">
    <w:altName w:val="微软雅黑"/>
    <w:panose1 w:val="02010600030101010101"/>
    <w:charset w:val="86"/>
    <w:family w:val="auto"/>
    <w:pitch w:val="default"/>
    <w:sig w:usb0="00000000" w:usb1="00000000" w:usb2="00000016" w:usb3="00000000" w:csb0="0004000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framePr w:wrap="around" w:vAnchor="text" w:hAnchor="margin" w:xAlign="center" w:y="1"/>
      <w:ind w:firstLine="360"/>
      <w:rPr>
        <w:rStyle w:val="22"/>
      </w:rPr>
    </w:pPr>
    <w:r>
      <w:fldChar w:fldCharType="begin"/>
    </w:r>
    <w:r>
      <w:rPr>
        <w:rStyle w:val="22"/>
      </w:rPr>
      <w:instrText xml:space="preserve">PAGE  </w:instrText>
    </w:r>
    <w:r>
      <w:fldChar w:fldCharType="end"/>
    </w:r>
  </w:p>
  <w:p>
    <w:pPr>
      <w:pStyle w:val="14"/>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framePr w:wrap="around" w:vAnchor="text" w:hAnchor="page" w:x="8693" w:y="-303"/>
      <w:ind w:firstLine="560"/>
      <w:rPr>
        <w:rStyle w:val="22"/>
        <w:rFonts w:ascii="宋体" w:hAnsi="宋体"/>
        <w:sz w:val="28"/>
        <w:szCs w:val="28"/>
      </w:rPr>
    </w:pPr>
    <w:r>
      <w:rPr>
        <w:rStyle w:val="22"/>
        <w:rFonts w:hint="eastAsia" w:ascii="宋体" w:hAnsi="宋体"/>
        <w:sz w:val="28"/>
        <w:szCs w:val="28"/>
      </w:rPr>
      <w:t>—</w:t>
    </w:r>
    <w:r>
      <w:rPr>
        <w:rStyle w:val="22"/>
        <w:rFonts w:hint="eastAsia" w:ascii="宋体" w:hAnsi="宋体"/>
        <w:sz w:val="20"/>
      </w:rPr>
      <w:t xml:space="preserve">  </w:t>
    </w:r>
    <w:r>
      <w:rPr>
        <w:rStyle w:val="22"/>
        <w:rFonts w:ascii="宋体" w:hAnsi="宋体"/>
        <w:sz w:val="26"/>
        <w:szCs w:val="26"/>
      </w:rPr>
      <w:fldChar w:fldCharType="begin"/>
    </w:r>
    <w:r>
      <w:rPr>
        <w:rStyle w:val="22"/>
        <w:rFonts w:ascii="宋体" w:hAnsi="宋体"/>
        <w:sz w:val="26"/>
        <w:szCs w:val="26"/>
      </w:rPr>
      <w:instrText xml:space="preserve">PAGE  </w:instrText>
    </w:r>
    <w:r>
      <w:rPr>
        <w:rStyle w:val="22"/>
        <w:rFonts w:ascii="宋体" w:hAnsi="宋体"/>
        <w:sz w:val="26"/>
        <w:szCs w:val="26"/>
      </w:rPr>
      <w:fldChar w:fldCharType="separate"/>
    </w:r>
    <w:r>
      <w:rPr>
        <w:rStyle w:val="22"/>
        <w:rFonts w:ascii="宋体" w:hAnsi="宋体"/>
        <w:sz w:val="26"/>
        <w:szCs w:val="26"/>
      </w:rPr>
      <w:t>17</w:t>
    </w:r>
    <w:r>
      <w:rPr>
        <w:rStyle w:val="22"/>
        <w:rFonts w:ascii="宋体" w:hAnsi="宋体"/>
        <w:sz w:val="26"/>
        <w:szCs w:val="26"/>
      </w:rPr>
      <w:fldChar w:fldCharType="end"/>
    </w:r>
    <w:r>
      <w:rPr>
        <w:rStyle w:val="22"/>
        <w:rFonts w:hint="eastAsia" w:ascii="宋体" w:hAnsi="宋体"/>
        <w:sz w:val="20"/>
      </w:rPr>
      <w:t xml:space="preserve">  </w:t>
    </w:r>
    <w:r>
      <w:rPr>
        <w:rStyle w:val="22"/>
        <w:rFonts w:hint="eastAsia" w:ascii="宋体" w:hAnsi="宋体"/>
        <w:sz w:val="28"/>
        <w:szCs w:val="28"/>
      </w:rPr>
      <w:t>—</w:t>
    </w:r>
  </w:p>
  <w:p>
    <w:pPr>
      <w:pStyle w:val="14"/>
      <w:ind w:right="360" w:firstLine="360"/>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rPr>
        <w:rStyle w:val="22"/>
        <w:rFonts w:ascii="宋体" w:hAnsi="宋体"/>
        <w:sz w:val="28"/>
        <w:szCs w:val="28"/>
      </w:rPr>
    </w:pPr>
    <w:r>
      <w:rPr>
        <w:rStyle w:val="22"/>
        <w:rFonts w:hint="eastAsia" w:ascii="宋体" w:hAnsi="宋体"/>
        <w:sz w:val="28"/>
        <w:szCs w:val="28"/>
      </w:rPr>
      <w:t>—</w:t>
    </w:r>
    <w:r>
      <w:rPr>
        <w:rStyle w:val="22"/>
        <w:rFonts w:hint="eastAsia" w:ascii="宋体" w:hAnsi="宋体"/>
        <w:sz w:val="20"/>
      </w:rPr>
      <w:t xml:space="preserve">  </w:t>
    </w:r>
    <w:r>
      <w:rPr>
        <w:rStyle w:val="22"/>
        <w:rFonts w:ascii="宋体" w:hAnsi="宋体"/>
        <w:sz w:val="26"/>
        <w:szCs w:val="26"/>
      </w:rPr>
      <w:fldChar w:fldCharType="begin"/>
    </w:r>
    <w:r>
      <w:rPr>
        <w:rStyle w:val="22"/>
        <w:rFonts w:ascii="宋体" w:hAnsi="宋体"/>
        <w:sz w:val="26"/>
        <w:szCs w:val="26"/>
      </w:rPr>
      <w:instrText xml:space="preserve">PAGE  </w:instrText>
    </w:r>
    <w:r>
      <w:rPr>
        <w:rStyle w:val="22"/>
        <w:rFonts w:ascii="宋体" w:hAnsi="宋体"/>
        <w:sz w:val="26"/>
        <w:szCs w:val="26"/>
      </w:rPr>
      <w:fldChar w:fldCharType="separate"/>
    </w:r>
    <w:r>
      <w:rPr>
        <w:rStyle w:val="22"/>
        <w:rFonts w:ascii="宋体" w:hAnsi="宋体"/>
        <w:sz w:val="26"/>
        <w:szCs w:val="26"/>
      </w:rPr>
      <w:t>18</w:t>
    </w:r>
    <w:r>
      <w:rPr>
        <w:rStyle w:val="22"/>
        <w:rFonts w:ascii="宋体" w:hAnsi="宋体"/>
        <w:sz w:val="26"/>
        <w:szCs w:val="26"/>
      </w:rPr>
      <w:fldChar w:fldCharType="end"/>
    </w:r>
    <w:r>
      <w:rPr>
        <w:rStyle w:val="22"/>
        <w:rFonts w:hint="eastAsia" w:ascii="宋体" w:hAnsi="宋体"/>
        <w:sz w:val="20"/>
      </w:rPr>
      <w:t xml:space="preserve">  </w:t>
    </w:r>
    <w:r>
      <w:rPr>
        <w:rStyle w:val="22"/>
        <w:rFonts w:hint="eastAsia" w:ascii="宋体" w:hAnsi="宋体"/>
        <w:sz w:val="28"/>
        <w:szCs w:val="28"/>
      </w:rPr>
      <w:t>—</w:t>
    </w:r>
  </w:p>
  <w:p>
    <w:pPr>
      <w:pStyle w:val="14"/>
      <w:ind w:right="360"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framePr w:wrap="around" w:vAnchor="text" w:hAnchor="margin" w:xAlign="outside" w:y="1"/>
      <w:ind w:firstLine="560"/>
      <w:rPr>
        <w:rStyle w:val="22"/>
        <w:rFonts w:ascii="宋体" w:hAnsi="宋体"/>
        <w:sz w:val="28"/>
        <w:szCs w:val="28"/>
      </w:rPr>
    </w:pPr>
    <w:r>
      <w:rPr>
        <w:rStyle w:val="22"/>
        <w:rFonts w:hint="eastAsia" w:ascii="宋体" w:hAnsi="宋体"/>
        <w:sz w:val="28"/>
        <w:szCs w:val="28"/>
      </w:rPr>
      <w:t>—</w:t>
    </w:r>
    <w:r>
      <w:rPr>
        <w:rStyle w:val="22"/>
        <w:rFonts w:hint="eastAsia" w:ascii="宋体" w:hAnsi="宋体"/>
        <w:sz w:val="20"/>
      </w:rPr>
      <w:t xml:space="preserve">  </w:t>
    </w:r>
    <w:r>
      <w:rPr>
        <w:rStyle w:val="22"/>
        <w:rFonts w:ascii="宋体" w:hAnsi="宋体"/>
        <w:sz w:val="26"/>
        <w:szCs w:val="26"/>
      </w:rPr>
      <w:fldChar w:fldCharType="begin"/>
    </w:r>
    <w:r>
      <w:rPr>
        <w:rStyle w:val="22"/>
        <w:rFonts w:ascii="宋体" w:hAnsi="宋体"/>
        <w:sz w:val="26"/>
        <w:szCs w:val="26"/>
      </w:rPr>
      <w:instrText xml:space="preserve">PAGE  </w:instrText>
    </w:r>
    <w:r>
      <w:rPr>
        <w:rStyle w:val="22"/>
        <w:rFonts w:ascii="宋体" w:hAnsi="宋体"/>
        <w:sz w:val="26"/>
        <w:szCs w:val="26"/>
      </w:rPr>
      <w:fldChar w:fldCharType="separate"/>
    </w:r>
    <w:r>
      <w:rPr>
        <w:rStyle w:val="22"/>
        <w:rFonts w:ascii="宋体" w:hAnsi="宋体"/>
        <w:sz w:val="26"/>
        <w:szCs w:val="26"/>
      </w:rPr>
      <w:t>47</w:t>
    </w:r>
    <w:r>
      <w:rPr>
        <w:rStyle w:val="22"/>
        <w:rFonts w:ascii="宋体" w:hAnsi="宋体"/>
        <w:sz w:val="26"/>
        <w:szCs w:val="26"/>
      </w:rPr>
      <w:fldChar w:fldCharType="end"/>
    </w:r>
    <w:r>
      <w:rPr>
        <w:rStyle w:val="22"/>
        <w:rFonts w:hint="eastAsia" w:ascii="宋体" w:hAnsi="宋体"/>
        <w:sz w:val="20"/>
      </w:rPr>
      <w:t xml:space="preserve">  </w:t>
    </w:r>
    <w:r>
      <w:rPr>
        <w:rStyle w:val="22"/>
        <w:rFonts w:hint="eastAsia" w:ascii="宋体" w:hAnsi="宋体"/>
        <w:sz w:val="28"/>
        <w:szCs w:val="28"/>
      </w:rPr>
      <w:t>—</w:t>
    </w:r>
  </w:p>
  <w:p>
    <w:pPr>
      <w:pStyle w:val="14"/>
      <w:ind w:right="360" w:firstLine="360"/>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E64C08"/>
    <w:multiLevelType w:val="multilevel"/>
    <w:tmpl w:val="06E64C08"/>
    <w:lvl w:ilvl="0" w:tentative="0">
      <w:start w:val="1"/>
      <w:numFmt w:val="decimal"/>
      <w:lvlText w:val="%1）"/>
      <w:lvlJc w:val="left"/>
      <w:pPr>
        <w:ind w:left="842" w:hanging="360"/>
      </w:pPr>
      <w:rPr>
        <w:rFonts w:hint="default"/>
      </w:rPr>
    </w:lvl>
    <w:lvl w:ilvl="1" w:tentative="0">
      <w:start w:val="1"/>
      <w:numFmt w:val="lowerLetter"/>
      <w:lvlText w:val="%2)"/>
      <w:lvlJc w:val="left"/>
      <w:pPr>
        <w:ind w:left="1322" w:hanging="420"/>
      </w:pPr>
    </w:lvl>
    <w:lvl w:ilvl="2" w:tentative="0">
      <w:start w:val="1"/>
      <w:numFmt w:val="lowerRoman"/>
      <w:lvlText w:val="%3."/>
      <w:lvlJc w:val="right"/>
      <w:pPr>
        <w:ind w:left="1742" w:hanging="420"/>
      </w:pPr>
    </w:lvl>
    <w:lvl w:ilvl="3" w:tentative="0">
      <w:start w:val="1"/>
      <w:numFmt w:val="decimal"/>
      <w:lvlText w:val="%4."/>
      <w:lvlJc w:val="left"/>
      <w:pPr>
        <w:ind w:left="2162" w:hanging="420"/>
      </w:pPr>
    </w:lvl>
    <w:lvl w:ilvl="4" w:tentative="0">
      <w:start w:val="1"/>
      <w:numFmt w:val="lowerLetter"/>
      <w:lvlText w:val="%5)"/>
      <w:lvlJc w:val="left"/>
      <w:pPr>
        <w:ind w:left="2582" w:hanging="420"/>
      </w:pPr>
    </w:lvl>
    <w:lvl w:ilvl="5" w:tentative="0">
      <w:start w:val="1"/>
      <w:numFmt w:val="lowerRoman"/>
      <w:lvlText w:val="%6."/>
      <w:lvlJc w:val="right"/>
      <w:pPr>
        <w:ind w:left="3002" w:hanging="420"/>
      </w:pPr>
    </w:lvl>
    <w:lvl w:ilvl="6" w:tentative="0">
      <w:start w:val="1"/>
      <w:numFmt w:val="decimal"/>
      <w:lvlText w:val="%7."/>
      <w:lvlJc w:val="left"/>
      <w:pPr>
        <w:ind w:left="3422" w:hanging="420"/>
      </w:pPr>
    </w:lvl>
    <w:lvl w:ilvl="7" w:tentative="0">
      <w:start w:val="1"/>
      <w:numFmt w:val="lowerLetter"/>
      <w:lvlText w:val="%8)"/>
      <w:lvlJc w:val="left"/>
      <w:pPr>
        <w:ind w:left="3842" w:hanging="420"/>
      </w:pPr>
    </w:lvl>
    <w:lvl w:ilvl="8" w:tentative="0">
      <w:start w:val="1"/>
      <w:numFmt w:val="lowerRoman"/>
      <w:lvlText w:val="%9."/>
      <w:lvlJc w:val="right"/>
      <w:pPr>
        <w:ind w:left="4262" w:hanging="420"/>
      </w:pPr>
    </w:lvl>
  </w:abstractNum>
  <w:abstractNum w:abstractNumId="1">
    <w:nsid w:val="4E863EC7"/>
    <w:multiLevelType w:val="multilevel"/>
    <w:tmpl w:val="4E863EC7"/>
    <w:lvl w:ilvl="0" w:tentative="0">
      <w:start w:val="1"/>
      <w:numFmt w:val="decimal"/>
      <w:lvlText w:val="%1、"/>
      <w:lvlJc w:val="left"/>
      <w:pPr>
        <w:ind w:left="360" w:hanging="360"/>
      </w:pPr>
      <w:rPr>
        <w:rFonts w:hint="default" w:ascii="Times New Roman" w:hAnsi="Times New Roman" w:cs="Times New Roman"/>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cumentProtection w:enforcement="0"/>
  <w:defaultTabStop w:val="420"/>
  <w:evenAndOddHeaders w:val="1"/>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YzYzdhYzE0MjRlNDA5ZmEzZjFlMjU5Mzg2ODRmMGMifQ=="/>
  </w:docVars>
  <w:rsids>
    <w:rsidRoot w:val="00173FF3"/>
    <w:rsid w:val="0000327E"/>
    <w:rsid w:val="000037A0"/>
    <w:rsid w:val="0000737E"/>
    <w:rsid w:val="00025454"/>
    <w:rsid w:val="000255E6"/>
    <w:rsid w:val="0002753E"/>
    <w:rsid w:val="00032D28"/>
    <w:rsid w:val="0004791B"/>
    <w:rsid w:val="000523A1"/>
    <w:rsid w:val="00060CEE"/>
    <w:rsid w:val="00061828"/>
    <w:rsid w:val="000621BB"/>
    <w:rsid w:val="0006610B"/>
    <w:rsid w:val="00071046"/>
    <w:rsid w:val="00073F84"/>
    <w:rsid w:val="00090DD7"/>
    <w:rsid w:val="00091137"/>
    <w:rsid w:val="00092A73"/>
    <w:rsid w:val="000B2AAF"/>
    <w:rsid w:val="000B57E6"/>
    <w:rsid w:val="000D44FA"/>
    <w:rsid w:val="000D5AAF"/>
    <w:rsid w:val="000D6ADD"/>
    <w:rsid w:val="000E14A2"/>
    <w:rsid w:val="000E1C37"/>
    <w:rsid w:val="000E5ED4"/>
    <w:rsid w:val="000F4FE7"/>
    <w:rsid w:val="000F5ACD"/>
    <w:rsid w:val="000F5B83"/>
    <w:rsid w:val="000F733B"/>
    <w:rsid w:val="00102140"/>
    <w:rsid w:val="001042A6"/>
    <w:rsid w:val="00113E5B"/>
    <w:rsid w:val="00117774"/>
    <w:rsid w:val="00134D89"/>
    <w:rsid w:val="00144FD5"/>
    <w:rsid w:val="00150E5E"/>
    <w:rsid w:val="00151E97"/>
    <w:rsid w:val="00156014"/>
    <w:rsid w:val="00157800"/>
    <w:rsid w:val="0016258C"/>
    <w:rsid w:val="001631BA"/>
    <w:rsid w:val="00163976"/>
    <w:rsid w:val="00171FDA"/>
    <w:rsid w:val="0017262D"/>
    <w:rsid w:val="00173FF3"/>
    <w:rsid w:val="0018500C"/>
    <w:rsid w:val="001933B1"/>
    <w:rsid w:val="00197E62"/>
    <w:rsid w:val="001A2C1E"/>
    <w:rsid w:val="001A6B1C"/>
    <w:rsid w:val="001B0B31"/>
    <w:rsid w:val="001B124B"/>
    <w:rsid w:val="001B7D1C"/>
    <w:rsid w:val="001E630F"/>
    <w:rsid w:val="001E763C"/>
    <w:rsid w:val="00200E13"/>
    <w:rsid w:val="00202903"/>
    <w:rsid w:val="00207E67"/>
    <w:rsid w:val="002437BA"/>
    <w:rsid w:val="00244AED"/>
    <w:rsid w:val="00252199"/>
    <w:rsid w:val="00262E25"/>
    <w:rsid w:val="0026630F"/>
    <w:rsid w:val="00266E0C"/>
    <w:rsid w:val="00291090"/>
    <w:rsid w:val="002A5FE0"/>
    <w:rsid w:val="002B082E"/>
    <w:rsid w:val="002B5E6D"/>
    <w:rsid w:val="002B6E7B"/>
    <w:rsid w:val="002C2950"/>
    <w:rsid w:val="002D3501"/>
    <w:rsid w:val="002E1507"/>
    <w:rsid w:val="002F3768"/>
    <w:rsid w:val="003005A6"/>
    <w:rsid w:val="0030509F"/>
    <w:rsid w:val="00340453"/>
    <w:rsid w:val="0034655F"/>
    <w:rsid w:val="00356713"/>
    <w:rsid w:val="0036282C"/>
    <w:rsid w:val="00363F28"/>
    <w:rsid w:val="00372353"/>
    <w:rsid w:val="00376758"/>
    <w:rsid w:val="00380E1A"/>
    <w:rsid w:val="00392D65"/>
    <w:rsid w:val="003A205E"/>
    <w:rsid w:val="003A5FAA"/>
    <w:rsid w:val="003A66D2"/>
    <w:rsid w:val="003B37B1"/>
    <w:rsid w:val="003B7A98"/>
    <w:rsid w:val="003C687F"/>
    <w:rsid w:val="003C6C30"/>
    <w:rsid w:val="003D2523"/>
    <w:rsid w:val="003E042B"/>
    <w:rsid w:val="003E5105"/>
    <w:rsid w:val="003F239A"/>
    <w:rsid w:val="004000A0"/>
    <w:rsid w:val="00400350"/>
    <w:rsid w:val="00402823"/>
    <w:rsid w:val="00407C63"/>
    <w:rsid w:val="00410245"/>
    <w:rsid w:val="004109E3"/>
    <w:rsid w:val="00417153"/>
    <w:rsid w:val="0042399E"/>
    <w:rsid w:val="00423E20"/>
    <w:rsid w:val="004270A5"/>
    <w:rsid w:val="00427DE9"/>
    <w:rsid w:val="004342E1"/>
    <w:rsid w:val="004409E0"/>
    <w:rsid w:val="0045582C"/>
    <w:rsid w:val="00455ACE"/>
    <w:rsid w:val="0046096E"/>
    <w:rsid w:val="004616A8"/>
    <w:rsid w:val="00464DF8"/>
    <w:rsid w:val="004730D3"/>
    <w:rsid w:val="00484855"/>
    <w:rsid w:val="00493A53"/>
    <w:rsid w:val="004A7B86"/>
    <w:rsid w:val="004C1238"/>
    <w:rsid w:val="004C6FC0"/>
    <w:rsid w:val="004E588A"/>
    <w:rsid w:val="004F53DD"/>
    <w:rsid w:val="00503957"/>
    <w:rsid w:val="00505750"/>
    <w:rsid w:val="005105AA"/>
    <w:rsid w:val="00515932"/>
    <w:rsid w:val="005260FD"/>
    <w:rsid w:val="00530826"/>
    <w:rsid w:val="0054509E"/>
    <w:rsid w:val="00545806"/>
    <w:rsid w:val="00553E9A"/>
    <w:rsid w:val="00557670"/>
    <w:rsid w:val="005631E6"/>
    <w:rsid w:val="00573302"/>
    <w:rsid w:val="00580275"/>
    <w:rsid w:val="005816B5"/>
    <w:rsid w:val="00583AC2"/>
    <w:rsid w:val="00585278"/>
    <w:rsid w:val="005876EB"/>
    <w:rsid w:val="00590C22"/>
    <w:rsid w:val="005A0486"/>
    <w:rsid w:val="005A1CCE"/>
    <w:rsid w:val="005A42DE"/>
    <w:rsid w:val="005B75B8"/>
    <w:rsid w:val="005C6069"/>
    <w:rsid w:val="005D615C"/>
    <w:rsid w:val="005E1DF2"/>
    <w:rsid w:val="005F094C"/>
    <w:rsid w:val="005F30C6"/>
    <w:rsid w:val="005F7712"/>
    <w:rsid w:val="00606482"/>
    <w:rsid w:val="00623EEC"/>
    <w:rsid w:val="00636F88"/>
    <w:rsid w:val="006406BC"/>
    <w:rsid w:val="00641E78"/>
    <w:rsid w:val="00642459"/>
    <w:rsid w:val="006461CD"/>
    <w:rsid w:val="00672860"/>
    <w:rsid w:val="006751FD"/>
    <w:rsid w:val="00675EA1"/>
    <w:rsid w:val="0068044D"/>
    <w:rsid w:val="00681ED7"/>
    <w:rsid w:val="00683106"/>
    <w:rsid w:val="00683CC9"/>
    <w:rsid w:val="00687C10"/>
    <w:rsid w:val="006C5279"/>
    <w:rsid w:val="006C6BB0"/>
    <w:rsid w:val="006D003D"/>
    <w:rsid w:val="006D1ADD"/>
    <w:rsid w:val="006D411E"/>
    <w:rsid w:val="006F0B37"/>
    <w:rsid w:val="0071397D"/>
    <w:rsid w:val="007146FD"/>
    <w:rsid w:val="00732BB9"/>
    <w:rsid w:val="00734A3E"/>
    <w:rsid w:val="00734AB6"/>
    <w:rsid w:val="0074430D"/>
    <w:rsid w:val="00751D3E"/>
    <w:rsid w:val="0077120D"/>
    <w:rsid w:val="007751F4"/>
    <w:rsid w:val="007758DB"/>
    <w:rsid w:val="00777146"/>
    <w:rsid w:val="00791C20"/>
    <w:rsid w:val="007A03FD"/>
    <w:rsid w:val="007B43C1"/>
    <w:rsid w:val="007B43EE"/>
    <w:rsid w:val="007B50CA"/>
    <w:rsid w:val="007C1C3A"/>
    <w:rsid w:val="007C52DB"/>
    <w:rsid w:val="007C568F"/>
    <w:rsid w:val="007D1B04"/>
    <w:rsid w:val="007E0279"/>
    <w:rsid w:val="007E1AF6"/>
    <w:rsid w:val="007E4830"/>
    <w:rsid w:val="007E4D8E"/>
    <w:rsid w:val="007E5956"/>
    <w:rsid w:val="007E6B8B"/>
    <w:rsid w:val="007F6133"/>
    <w:rsid w:val="007F62B2"/>
    <w:rsid w:val="00810E69"/>
    <w:rsid w:val="008131A5"/>
    <w:rsid w:val="00841158"/>
    <w:rsid w:val="008430E4"/>
    <w:rsid w:val="00844578"/>
    <w:rsid w:val="0085186A"/>
    <w:rsid w:val="00861776"/>
    <w:rsid w:val="00870327"/>
    <w:rsid w:val="00876933"/>
    <w:rsid w:val="008848BD"/>
    <w:rsid w:val="008919AD"/>
    <w:rsid w:val="00896279"/>
    <w:rsid w:val="0089766E"/>
    <w:rsid w:val="008A2253"/>
    <w:rsid w:val="008B6E2D"/>
    <w:rsid w:val="008C68D9"/>
    <w:rsid w:val="008C759C"/>
    <w:rsid w:val="0090207C"/>
    <w:rsid w:val="00902F57"/>
    <w:rsid w:val="00910928"/>
    <w:rsid w:val="00920564"/>
    <w:rsid w:val="00926ED1"/>
    <w:rsid w:val="0093303A"/>
    <w:rsid w:val="00941BCB"/>
    <w:rsid w:val="00942717"/>
    <w:rsid w:val="009517F9"/>
    <w:rsid w:val="00955077"/>
    <w:rsid w:val="00956323"/>
    <w:rsid w:val="009645E2"/>
    <w:rsid w:val="0097578E"/>
    <w:rsid w:val="00975978"/>
    <w:rsid w:val="0097710A"/>
    <w:rsid w:val="00977E8E"/>
    <w:rsid w:val="00980E0E"/>
    <w:rsid w:val="0098198F"/>
    <w:rsid w:val="00981EA2"/>
    <w:rsid w:val="00983FFD"/>
    <w:rsid w:val="0098664F"/>
    <w:rsid w:val="009868D3"/>
    <w:rsid w:val="00991638"/>
    <w:rsid w:val="009954B7"/>
    <w:rsid w:val="0099684F"/>
    <w:rsid w:val="009A2880"/>
    <w:rsid w:val="009C0137"/>
    <w:rsid w:val="009C2B7F"/>
    <w:rsid w:val="009D5C03"/>
    <w:rsid w:val="009F7F06"/>
    <w:rsid w:val="00A01208"/>
    <w:rsid w:val="00A07BC1"/>
    <w:rsid w:val="00A1158D"/>
    <w:rsid w:val="00A1612B"/>
    <w:rsid w:val="00A33C85"/>
    <w:rsid w:val="00A46862"/>
    <w:rsid w:val="00A5352B"/>
    <w:rsid w:val="00A551E2"/>
    <w:rsid w:val="00A67BA9"/>
    <w:rsid w:val="00A946CC"/>
    <w:rsid w:val="00AA14F4"/>
    <w:rsid w:val="00AA4356"/>
    <w:rsid w:val="00AA7367"/>
    <w:rsid w:val="00AB03A4"/>
    <w:rsid w:val="00AC05BE"/>
    <w:rsid w:val="00AC2320"/>
    <w:rsid w:val="00AC5680"/>
    <w:rsid w:val="00AC5AE3"/>
    <w:rsid w:val="00AF3DCE"/>
    <w:rsid w:val="00B01B6B"/>
    <w:rsid w:val="00B02365"/>
    <w:rsid w:val="00B12D4C"/>
    <w:rsid w:val="00B17241"/>
    <w:rsid w:val="00B43892"/>
    <w:rsid w:val="00B440A5"/>
    <w:rsid w:val="00B73AE0"/>
    <w:rsid w:val="00B75CA8"/>
    <w:rsid w:val="00B7708C"/>
    <w:rsid w:val="00B8516A"/>
    <w:rsid w:val="00B96734"/>
    <w:rsid w:val="00BA1064"/>
    <w:rsid w:val="00BA5707"/>
    <w:rsid w:val="00BA7131"/>
    <w:rsid w:val="00BB41E7"/>
    <w:rsid w:val="00BC3B5C"/>
    <w:rsid w:val="00BC4A57"/>
    <w:rsid w:val="00BD2239"/>
    <w:rsid w:val="00BD635B"/>
    <w:rsid w:val="00C049C6"/>
    <w:rsid w:val="00C13903"/>
    <w:rsid w:val="00C1411C"/>
    <w:rsid w:val="00C1664E"/>
    <w:rsid w:val="00C17FC9"/>
    <w:rsid w:val="00C22754"/>
    <w:rsid w:val="00C25EFA"/>
    <w:rsid w:val="00C2714E"/>
    <w:rsid w:val="00C32DAF"/>
    <w:rsid w:val="00C42195"/>
    <w:rsid w:val="00C50D12"/>
    <w:rsid w:val="00C52486"/>
    <w:rsid w:val="00C534A8"/>
    <w:rsid w:val="00C63695"/>
    <w:rsid w:val="00C64355"/>
    <w:rsid w:val="00C6474B"/>
    <w:rsid w:val="00C70A1F"/>
    <w:rsid w:val="00C713A8"/>
    <w:rsid w:val="00C7567F"/>
    <w:rsid w:val="00C85F1E"/>
    <w:rsid w:val="00C862FF"/>
    <w:rsid w:val="00C91C09"/>
    <w:rsid w:val="00C9356D"/>
    <w:rsid w:val="00CA0730"/>
    <w:rsid w:val="00CA2112"/>
    <w:rsid w:val="00CA7581"/>
    <w:rsid w:val="00CD17F2"/>
    <w:rsid w:val="00CF2401"/>
    <w:rsid w:val="00CF480C"/>
    <w:rsid w:val="00CF584C"/>
    <w:rsid w:val="00D016A2"/>
    <w:rsid w:val="00D04BED"/>
    <w:rsid w:val="00D07C8D"/>
    <w:rsid w:val="00D1466E"/>
    <w:rsid w:val="00D16B55"/>
    <w:rsid w:val="00D17C7E"/>
    <w:rsid w:val="00D336C8"/>
    <w:rsid w:val="00D37490"/>
    <w:rsid w:val="00D37491"/>
    <w:rsid w:val="00D37979"/>
    <w:rsid w:val="00D47EA7"/>
    <w:rsid w:val="00D55348"/>
    <w:rsid w:val="00D647D4"/>
    <w:rsid w:val="00D666FB"/>
    <w:rsid w:val="00D7026D"/>
    <w:rsid w:val="00D72F10"/>
    <w:rsid w:val="00D82C9B"/>
    <w:rsid w:val="00D86DE1"/>
    <w:rsid w:val="00D934DB"/>
    <w:rsid w:val="00D959BF"/>
    <w:rsid w:val="00DA3A85"/>
    <w:rsid w:val="00DB524F"/>
    <w:rsid w:val="00DC3FB5"/>
    <w:rsid w:val="00DF5CFE"/>
    <w:rsid w:val="00DF7804"/>
    <w:rsid w:val="00E00086"/>
    <w:rsid w:val="00E043DF"/>
    <w:rsid w:val="00E1169E"/>
    <w:rsid w:val="00E17F2B"/>
    <w:rsid w:val="00E2469B"/>
    <w:rsid w:val="00E31819"/>
    <w:rsid w:val="00E32969"/>
    <w:rsid w:val="00E6404C"/>
    <w:rsid w:val="00E71C22"/>
    <w:rsid w:val="00E9615C"/>
    <w:rsid w:val="00E963B4"/>
    <w:rsid w:val="00E9747E"/>
    <w:rsid w:val="00EA24AF"/>
    <w:rsid w:val="00EA307B"/>
    <w:rsid w:val="00EA5D3D"/>
    <w:rsid w:val="00EA6581"/>
    <w:rsid w:val="00EB3AE1"/>
    <w:rsid w:val="00EB425C"/>
    <w:rsid w:val="00EB7C6D"/>
    <w:rsid w:val="00ED42B4"/>
    <w:rsid w:val="00EE5D4F"/>
    <w:rsid w:val="00EF1708"/>
    <w:rsid w:val="00EF206B"/>
    <w:rsid w:val="00EF3DAD"/>
    <w:rsid w:val="00EF5BD5"/>
    <w:rsid w:val="00EF7430"/>
    <w:rsid w:val="00F0794D"/>
    <w:rsid w:val="00F1037A"/>
    <w:rsid w:val="00F20CBB"/>
    <w:rsid w:val="00F30A22"/>
    <w:rsid w:val="00F31EFD"/>
    <w:rsid w:val="00F32CB8"/>
    <w:rsid w:val="00F330ED"/>
    <w:rsid w:val="00F35155"/>
    <w:rsid w:val="00F37B34"/>
    <w:rsid w:val="00F42131"/>
    <w:rsid w:val="00F436F2"/>
    <w:rsid w:val="00F50B3B"/>
    <w:rsid w:val="00F517AC"/>
    <w:rsid w:val="00F54709"/>
    <w:rsid w:val="00F63881"/>
    <w:rsid w:val="00F67784"/>
    <w:rsid w:val="00F740D0"/>
    <w:rsid w:val="00F74A8B"/>
    <w:rsid w:val="00F7518A"/>
    <w:rsid w:val="00FA1E19"/>
    <w:rsid w:val="00FB1E59"/>
    <w:rsid w:val="00FB4100"/>
    <w:rsid w:val="00FC4614"/>
    <w:rsid w:val="00FC558D"/>
    <w:rsid w:val="00FD7623"/>
    <w:rsid w:val="00FE1ACF"/>
    <w:rsid w:val="00FF692D"/>
    <w:rsid w:val="00FF7C59"/>
    <w:rsid w:val="0FBD4B82"/>
    <w:rsid w:val="4819662E"/>
    <w:rsid w:val="49473C19"/>
    <w:rsid w:val="58C011DE"/>
    <w:rsid w:val="71A357F7"/>
    <w:rsid w:val="7733654F"/>
    <w:rsid w:val="7BC11CF4"/>
    <w:rsid w:val="7F397B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9" w:name="heading 2"/>
    <w:lsdException w:qFormat="1" w:unhideWhenUsed="0"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nhideWhenUsed="0" w:uiPriority="0" w:name="annotation text"/>
    <w:lsdException w:uiPriority="0" w:semiHidden="0" w:name="header"/>
    <w:lsdException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nhideWhenUsed="0" w:uiPriority="0" w:semiHidden="0"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nhideWhenUsed="0" w:uiPriority="0" w:semiHidden="0" w:name="Document Map"/>
    <w:lsdException w:qFormat="1" w:unhideWhenUsed="0" w:uiPriority="0" w:semiHidden="0"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nhideWhenUsed="0"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32"/>
    <w:qFormat/>
    <w:uiPriority w:val="99"/>
    <w:pPr>
      <w:keepNext/>
      <w:overflowPunct w:val="0"/>
      <w:snapToGrid w:val="0"/>
      <w:spacing w:before="120" w:after="160" w:line="259" w:lineRule="auto"/>
      <w:ind w:left="432" w:hanging="432"/>
      <w:outlineLvl w:val="0"/>
    </w:pPr>
    <w:rPr>
      <w:rFonts w:ascii="Times New Roman" w:hAnsi="Times New Roman" w:eastAsia="黑体" w:cs="Times New Roman"/>
      <w:b/>
      <w:bCs/>
      <w:color w:val="000000"/>
      <w:kern w:val="44"/>
      <w:sz w:val="30"/>
      <w:szCs w:val="30"/>
    </w:rPr>
  </w:style>
  <w:style w:type="paragraph" w:styleId="3">
    <w:name w:val="heading 3"/>
    <w:basedOn w:val="1"/>
    <w:next w:val="1"/>
    <w:link w:val="33"/>
    <w:qFormat/>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4">
    <w:name w:val="heading 4"/>
    <w:basedOn w:val="1"/>
    <w:next w:val="1"/>
    <w:link w:val="34"/>
    <w:qFormat/>
    <w:uiPriority w:val="0"/>
    <w:pPr>
      <w:keepNext/>
      <w:keepLines/>
      <w:spacing w:before="280" w:after="290" w:line="376" w:lineRule="auto"/>
      <w:outlineLvl w:val="3"/>
    </w:pPr>
    <w:rPr>
      <w:rFonts w:ascii="Cambria" w:hAnsi="Cambria" w:eastAsia="宋体" w:cs="Times New Roman"/>
      <w:b/>
      <w:bCs/>
      <w:sz w:val="28"/>
      <w:szCs w:val="28"/>
    </w:rPr>
  </w:style>
  <w:style w:type="character" w:default="1" w:styleId="20">
    <w:name w:val="Default Paragraph Font"/>
    <w:semiHidden/>
    <w:unhideWhenUsed/>
    <w:uiPriority w:val="1"/>
  </w:style>
  <w:style w:type="table" w:default="1" w:styleId="18">
    <w:name w:val="Normal Table"/>
    <w:semiHidden/>
    <w:unhideWhenUsed/>
    <w:uiPriority w:val="99"/>
    <w:tblPr>
      <w:tblCellMar>
        <w:top w:w="0" w:type="dxa"/>
        <w:left w:w="108" w:type="dxa"/>
        <w:bottom w:w="0" w:type="dxa"/>
        <w:right w:w="108" w:type="dxa"/>
      </w:tblCellMar>
    </w:tblPr>
  </w:style>
  <w:style w:type="paragraph" w:styleId="5">
    <w:name w:val="caption"/>
    <w:basedOn w:val="1"/>
    <w:next w:val="1"/>
    <w:link w:val="35"/>
    <w:qFormat/>
    <w:uiPriority w:val="35"/>
    <w:pPr>
      <w:adjustRightInd w:val="0"/>
      <w:snapToGrid w:val="0"/>
      <w:spacing w:beforeLines="50"/>
      <w:jc w:val="center"/>
    </w:pPr>
    <w:rPr>
      <w:rFonts w:ascii="Times New Roman" w:hAnsi="Times New Roman" w:eastAsia="黑体" w:cs="Times New Roman"/>
      <w:szCs w:val="20"/>
      <w:lang w:val="zh-CN"/>
    </w:rPr>
  </w:style>
  <w:style w:type="paragraph" w:styleId="6">
    <w:name w:val="Document Map"/>
    <w:basedOn w:val="1"/>
    <w:link w:val="36"/>
    <w:uiPriority w:val="0"/>
    <w:rPr>
      <w:rFonts w:ascii="宋体" w:hAnsi="Times New Roman" w:eastAsia="宋体" w:cs="Times New Roman"/>
      <w:sz w:val="18"/>
      <w:szCs w:val="18"/>
    </w:rPr>
  </w:style>
  <w:style w:type="paragraph" w:styleId="7">
    <w:name w:val="annotation text"/>
    <w:basedOn w:val="1"/>
    <w:link w:val="37"/>
    <w:semiHidden/>
    <w:uiPriority w:val="0"/>
    <w:pPr>
      <w:jc w:val="left"/>
    </w:pPr>
    <w:rPr>
      <w:rFonts w:ascii="Times New Roman" w:hAnsi="Times New Roman" w:eastAsia="宋体" w:cs="Times New Roman"/>
      <w:kern w:val="0"/>
      <w:sz w:val="24"/>
      <w:szCs w:val="20"/>
      <w:lang w:val="zh-CN"/>
    </w:rPr>
  </w:style>
  <w:style w:type="paragraph" w:styleId="8">
    <w:name w:val="Body Text"/>
    <w:basedOn w:val="1"/>
    <w:link w:val="38"/>
    <w:uiPriority w:val="0"/>
    <w:pPr>
      <w:widowControl/>
      <w:snapToGrid w:val="0"/>
      <w:spacing w:before="60" w:after="160" w:line="259" w:lineRule="auto"/>
      <w:ind w:right="113"/>
    </w:pPr>
    <w:rPr>
      <w:rFonts w:ascii="Times New Roman" w:hAnsi="Times New Roman" w:eastAsia="宋体" w:cs="Times New Roman"/>
      <w:kern w:val="0"/>
      <w:sz w:val="18"/>
      <w:szCs w:val="20"/>
      <w:lang w:val="zh-CN"/>
    </w:rPr>
  </w:style>
  <w:style w:type="paragraph" w:styleId="9">
    <w:name w:val="Body Text Indent"/>
    <w:basedOn w:val="1"/>
    <w:link w:val="39"/>
    <w:uiPriority w:val="0"/>
    <w:pPr>
      <w:spacing w:after="120"/>
      <w:ind w:left="420" w:leftChars="200"/>
    </w:pPr>
    <w:rPr>
      <w:rFonts w:ascii="Times New Roman" w:hAnsi="Times New Roman" w:eastAsia="宋体" w:cs="Times New Roman"/>
      <w:kern w:val="0"/>
      <w:sz w:val="24"/>
      <w:szCs w:val="20"/>
      <w:lang w:val="zh-CN"/>
    </w:rPr>
  </w:style>
  <w:style w:type="paragraph" w:styleId="10">
    <w:name w:val="Block Text"/>
    <w:basedOn w:val="1"/>
    <w:semiHidden/>
    <w:unhideWhenUsed/>
    <w:uiPriority w:val="99"/>
    <w:pPr>
      <w:spacing w:after="120"/>
      <w:ind w:left="1440" w:leftChars="700" w:right="1440" w:rightChars="700"/>
    </w:pPr>
    <w:rPr>
      <w:rFonts w:ascii="Times New Roman" w:hAnsi="Times New Roman" w:eastAsia="宋体" w:cs="Times New Roman"/>
      <w:szCs w:val="20"/>
    </w:rPr>
  </w:style>
  <w:style w:type="paragraph" w:styleId="11">
    <w:name w:val="Plain Text"/>
    <w:basedOn w:val="1"/>
    <w:link w:val="40"/>
    <w:qFormat/>
    <w:uiPriority w:val="0"/>
    <w:rPr>
      <w:rFonts w:ascii="宋体" w:hAnsi="Courier New" w:eastAsia="宋体" w:cs="Courier New"/>
      <w:szCs w:val="21"/>
    </w:rPr>
  </w:style>
  <w:style w:type="paragraph" w:styleId="12">
    <w:name w:val="Date"/>
    <w:basedOn w:val="1"/>
    <w:next w:val="1"/>
    <w:link w:val="41"/>
    <w:uiPriority w:val="0"/>
    <w:pPr>
      <w:ind w:left="100" w:leftChars="2500"/>
    </w:pPr>
    <w:rPr>
      <w:rFonts w:ascii="Times New Roman" w:hAnsi="Times New Roman" w:eastAsia="宋体" w:cs="Times New Roman"/>
      <w:kern w:val="0"/>
      <w:sz w:val="24"/>
      <w:szCs w:val="20"/>
      <w:lang w:val="zh-CN"/>
    </w:rPr>
  </w:style>
  <w:style w:type="paragraph" w:styleId="13">
    <w:name w:val="Balloon Text"/>
    <w:basedOn w:val="1"/>
    <w:link w:val="42"/>
    <w:semiHidden/>
    <w:uiPriority w:val="0"/>
    <w:rPr>
      <w:rFonts w:ascii="Times New Roman" w:hAnsi="Times New Roman" w:eastAsia="宋体" w:cs="Times New Roman"/>
      <w:kern w:val="0"/>
      <w:sz w:val="18"/>
      <w:szCs w:val="20"/>
      <w:lang w:val="zh-CN"/>
    </w:rPr>
  </w:style>
  <w:style w:type="paragraph" w:styleId="14">
    <w:name w:val="footer"/>
    <w:basedOn w:val="1"/>
    <w:link w:val="31"/>
    <w:unhideWhenUsed/>
    <w:uiPriority w:val="99"/>
    <w:pPr>
      <w:tabs>
        <w:tab w:val="center" w:pos="4153"/>
        <w:tab w:val="right" w:pos="8306"/>
      </w:tabs>
      <w:snapToGrid w:val="0"/>
      <w:jc w:val="left"/>
    </w:pPr>
    <w:rPr>
      <w:sz w:val="18"/>
      <w:szCs w:val="18"/>
    </w:rPr>
  </w:style>
  <w:style w:type="paragraph" w:styleId="15">
    <w:name w:val="header"/>
    <w:basedOn w:val="1"/>
    <w:link w:val="30"/>
    <w:unhideWhenUsed/>
    <w:uiPriority w:val="0"/>
    <w:pPr>
      <w:pBdr>
        <w:bottom w:val="single" w:color="auto" w:sz="6" w:space="1"/>
      </w:pBdr>
      <w:tabs>
        <w:tab w:val="center" w:pos="4153"/>
        <w:tab w:val="right" w:pos="8306"/>
      </w:tabs>
      <w:snapToGrid w:val="0"/>
      <w:jc w:val="center"/>
    </w:pPr>
    <w:rPr>
      <w:sz w:val="18"/>
      <w:szCs w:val="18"/>
    </w:rPr>
  </w:style>
  <w:style w:type="paragraph" w:styleId="16">
    <w:name w:val="Normal (Web)"/>
    <w:basedOn w:val="1"/>
    <w:link w:val="43"/>
    <w:uiPriority w:val="0"/>
    <w:pPr>
      <w:widowControl/>
      <w:spacing w:before="100" w:beforeAutospacing="1" w:after="100" w:afterAutospacing="1"/>
      <w:jc w:val="left"/>
    </w:pPr>
    <w:rPr>
      <w:rFonts w:ascii="宋体" w:hAnsi="宋体" w:eastAsia="宋体" w:cs="Times New Roman"/>
      <w:kern w:val="0"/>
      <w:sz w:val="24"/>
      <w:szCs w:val="20"/>
      <w:lang w:val="zh-CN"/>
    </w:rPr>
  </w:style>
  <w:style w:type="paragraph" w:styleId="17">
    <w:name w:val="annotation subject"/>
    <w:basedOn w:val="7"/>
    <w:next w:val="7"/>
    <w:link w:val="44"/>
    <w:semiHidden/>
    <w:uiPriority w:val="0"/>
    <w:rPr>
      <w:b/>
      <w:kern w:val="2"/>
    </w:rPr>
  </w:style>
  <w:style w:type="table" w:styleId="19">
    <w:name w:val="Table Grid"/>
    <w:basedOn w:val="18"/>
    <w:qFormat/>
    <w:uiPriority w:val="0"/>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bCs/>
    </w:rPr>
  </w:style>
  <w:style w:type="character" w:styleId="22">
    <w:name w:val="page number"/>
    <w:uiPriority w:val="0"/>
  </w:style>
  <w:style w:type="character" w:styleId="23">
    <w:name w:val="FollowedHyperlink"/>
    <w:basedOn w:val="20"/>
    <w:semiHidden/>
    <w:unhideWhenUsed/>
    <w:uiPriority w:val="99"/>
    <w:rPr>
      <w:color w:val="0894EC"/>
      <w:u w:val="none"/>
    </w:rPr>
  </w:style>
  <w:style w:type="character" w:styleId="24">
    <w:name w:val="HTML Definition"/>
    <w:basedOn w:val="20"/>
    <w:semiHidden/>
    <w:unhideWhenUsed/>
    <w:uiPriority w:val="99"/>
    <w:rPr>
      <w:i/>
      <w:iCs/>
    </w:rPr>
  </w:style>
  <w:style w:type="character" w:styleId="25">
    <w:name w:val="Hyperlink"/>
    <w:basedOn w:val="20"/>
    <w:semiHidden/>
    <w:unhideWhenUsed/>
    <w:uiPriority w:val="99"/>
    <w:rPr>
      <w:color w:val="0894EC"/>
      <w:u w:val="none"/>
    </w:rPr>
  </w:style>
  <w:style w:type="character" w:styleId="26">
    <w:name w:val="HTML Code"/>
    <w:basedOn w:val="20"/>
    <w:semiHidden/>
    <w:unhideWhenUsed/>
    <w:uiPriority w:val="99"/>
    <w:rPr>
      <w:rFonts w:hint="default" w:ascii="monospace" w:hAnsi="monospace" w:eastAsia="monospace" w:cs="monospace"/>
      <w:sz w:val="21"/>
      <w:szCs w:val="21"/>
    </w:rPr>
  </w:style>
  <w:style w:type="character" w:styleId="27">
    <w:name w:val="annotation reference"/>
    <w:semiHidden/>
    <w:qFormat/>
    <w:uiPriority w:val="0"/>
    <w:rPr>
      <w:sz w:val="21"/>
    </w:rPr>
  </w:style>
  <w:style w:type="character" w:styleId="28">
    <w:name w:val="HTML Keyboard"/>
    <w:basedOn w:val="20"/>
    <w:semiHidden/>
    <w:unhideWhenUsed/>
    <w:uiPriority w:val="99"/>
    <w:rPr>
      <w:rFonts w:hint="default" w:ascii="monospace" w:hAnsi="monospace" w:eastAsia="monospace" w:cs="monospace"/>
      <w:sz w:val="21"/>
      <w:szCs w:val="21"/>
    </w:rPr>
  </w:style>
  <w:style w:type="character" w:styleId="29">
    <w:name w:val="HTML Sample"/>
    <w:basedOn w:val="20"/>
    <w:semiHidden/>
    <w:unhideWhenUsed/>
    <w:uiPriority w:val="99"/>
    <w:rPr>
      <w:rFonts w:ascii="monospace" w:hAnsi="monospace" w:eastAsia="monospace" w:cs="monospace"/>
      <w:sz w:val="21"/>
      <w:szCs w:val="21"/>
    </w:rPr>
  </w:style>
  <w:style w:type="character" w:customStyle="1" w:styleId="30">
    <w:name w:val="页眉 Char"/>
    <w:basedOn w:val="20"/>
    <w:link w:val="15"/>
    <w:uiPriority w:val="0"/>
    <w:rPr>
      <w:sz w:val="18"/>
      <w:szCs w:val="18"/>
    </w:rPr>
  </w:style>
  <w:style w:type="character" w:customStyle="1" w:styleId="31">
    <w:name w:val="页脚 Char"/>
    <w:basedOn w:val="20"/>
    <w:link w:val="14"/>
    <w:uiPriority w:val="99"/>
    <w:rPr>
      <w:sz w:val="18"/>
      <w:szCs w:val="18"/>
    </w:rPr>
  </w:style>
  <w:style w:type="character" w:customStyle="1" w:styleId="32">
    <w:name w:val="标题 1 Char"/>
    <w:basedOn w:val="20"/>
    <w:link w:val="2"/>
    <w:uiPriority w:val="99"/>
    <w:rPr>
      <w:rFonts w:ascii="Times New Roman" w:hAnsi="Times New Roman" w:eastAsia="黑体" w:cs="Times New Roman"/>
      <w:b/>
      <w:bCs/>
      <w:color w:val="000000"/>
      <w:kern w:val="44"/>
      <w:sz w:val="30"/>
      <w:szCs w:val="30"/>
    </w:rPr>
  </w:style>
  <w:style w:type="character" w:customStyle="1" w:styleId="33">
    <w:name w:val="标题 3 Char"/>
    <w:basedOn w:val="20"/>
    <w:link w:val="3"/>
    <w:uiPriority w:val="0"/>
    <w:rPr>
      <w:rFonts w:ascii="Times New Roman" w:hAnsi="Times New Roman" w:eastAsia="宋体" w:cs="Times New Roman"/>
      <w:b/>
      <w:bCs/>
      <w:sz w:val="32"/>
      <w:szCs w:val="32"/>
    </w:rPr>
  </w:style>
  <w:style w:type="character" w:customStyle="1" w:styleId="34">
    <w:name w:val="标题 4 Char"/>
    <w:basedOn w:val="20"/>
    <w:link w:val="4"/>
    <w:uiPriority w:val="0"/>
    <w:rPr>
      <w:rFonts w:ascii="Cambria" w:hAnsi="Cambria" w:eastAsia="宋体" w:cs="Times New Roman"/>
      <w:b/>
      <w:bCs/>
      <w:sz w:val="28"/>
      <w:szCs w:val="28"/>
    </w:rPr>
  </w:style>
  <w:style w:type="character" w:customStyle="1" w:styleId="35">
    <w:name w:val="题注 Char"/>
    <w:link w:val="5"/>
    <w:qFormat/>
    <w:locked/>
    <w:uiPriority w:val="35"/>
    <w:rPr>
      <w:rFonts w:ascii="Times New Roman" w:hAnsi="Times New Roman" w:eastAsia="黑体" w:cs="Times New Roman"/>
      <w:szCs w:val="20"/>
      <w:lang w:val="zh-CN" w:eastAsia="zh-CN"/>
    </w:rPr>
  </w:style>
  <w:style w:type="character" w:customStyle="1" w:styleId="36">
    <w:name w:val="文档结构图 Char"/>
    <w:basedOn w:val="20"/>
    <w:link w:val="6"/>
    <w:uiPriority w:val="0"/>
    <w:rPr>
      <w:rFonts w:ascii="宋体" w:hAnsi="Times New Roman" w:eastAsia="宋体" w:cs="Times New Roman"/>
      <w:sz w:val="18"/>
      <w:szCs w:val="18"/>
    </w:rPr>
  </w:style>
  <w:style w:type="character" w:customStyle="1" w:styleId="37">
    <w:name w:val="批注文字 Char"/>
    <w:basedOn w:val="20"/>
    <w:link w:val="7"/>
    <w:semiHidden/>
    <w:uiPriority w:val="0"/>
    <w:rPr>
      <w:rFonts w:ascii="Times New Roman" w:hAnsi="Times New Roman" w:eastAsia="宋体" w:cs="Times New Roman"/>
      <w:kern w:val="0"/>
      <w:sz w:val="24"/>
      <w:szCs w:val="20"/>
      <w:lang w:val="zh-CN" w:eastAsia="zh-CN"/>
    </w:rPr>
  </w:style>
  <w:style w:type="character" w:customStyle="1" w:styleId="38">
    <w:name w:val="正文文本 Char"/>
    <w:basedOn w:val="20"/>
    <w:link w:val="8"/>
    <w:uiPriority w:val="0"/>
    <w:rPr>
      <w:rFonts w:ascii="Times New Roman" w:hAnsi="Times New Roman" w:eastAsia="宋体" w:cs="Times New Roman"/>
      <w:kern w:val="0"/>
      <w:sz w:val="18"/>
      <w:szCs w:val="20"/>
      <w:lang w:val="zh-CN" w:eastAsia="zh-CN"/>
    </w:rPr>
  </w:style>
  <w:style w:type="character" w:customStyle="1" w:styleId="39">
    <w:name w:val="正文文本缩进 Char"/>
    <w:basedOn w:val="20"/>
    <w:link w:val="9"/>
    <w:uiPriority w:val="0"/>
    <w:rPr>
      <w:rFonts w:ascii="Times New Roman" w:hAnsi="Times New Roman" w:eastAsia="宋体" w:cs="Times New Roman"/>
      <w:kern w:val="0"/>
      <w:sz w:val="24"/>
      <w:szCs w:val="20"/>
      <w:lang w:val="zh-CN" w:eastAsia="zh-CN"/>
    </w:rPr>
  </w:style>
  <w:style w:type="character" w:customStyle="1" w:styleId="40">
    <w:name w:val="纯文本 Char"/>
    <w:basedOn w:val="20"/>
    <w:link w:val="11"/>
    <w:qFormat/>
    <w:uiPriority w:val="0"/>
    <w:rPr>
      <w:rFonts w:ascii="宋体" w:hAnsi="Courier New" w:eastAsia="宋体" w:cs="Courier New"/>
      <w:szCs w:val="21"/>
    </w:rPr>
  </w:style>
  <w:style w:type="character" w:customStyle="1" w:styleId="41">
    <w:name w:val="日期 Char"/>
    <w:basedOn w:val="20"/>
    <w:link w:val="12"/>
    <w:uiPriority w:val="0"/>
    <w:rPr>
      <w:rFonts w:ascii="Times New Roman" w:hAnsi="Times New Roman" w:eastAsia="宋体" w:cs="Times New Roman"/>
      <w:kern w:val="0"/>
      <w:sz w:val="24"/>
      <w:szCs w:val="20"/>
      <w:lang w:val="zh-CN" w:eastAsia="zh-CN"/>
    </w:rPr>
  </w:style>
  <w:style w:type="character" w:customStyle="1" w:styleId="42">
    <w:name w:val="批注框文本 Char"/>
    <w:basedOn w:val="20"/>
    <w:link w:val="13"/>
    <w:semiHidden/>
    <w:uiPriority w:val="0"/>
    <w:rPr>
      <w:rFonts w:ascii="Times New Roman" w:hAnsi="Times New Roman" w:eastAsia="宋体" w:cs="Times New Roman"/>
      <w:kern w:val="0"/>
      <w:sz w:val="18"/>
      <w:szCs w:val="20"/>
      <w:lang w:val="zh-CN" w:eastAsia="zh-CN"/>
    </w:rPr>
  </w:style>
  <w:style w:type="character" w:customStyle="1" w:styleId="43">
    <w:name w:val="普通(网站) Char"/>
    <w:link w:val="16"/>
    <w:locked/>
    <w:uiPriority w:val="0"/>
    <w:rPr>
      <w:rFonts w:ascii="宋体" w:hAnsi="宋体" w:eastAsia="宋体" w:cs="Times New Roman"/>
      <w:kern w:val="0"/>
      <w:sz w:val="24"/>
      <w:szCs w:val="20"/>
      <w:lang w:val="zh-CN" w:eastAsia="zh-CN"/>
    </w:rPr>
  </w:style>
  <w:style w:type="character" w:customStyle="1" w:styleId="44">
    <w:name w:val="批注主题 Char"/>
    <w:basedOn w:val="37"/>
    <w:link w:val="17"/>
    <w:semiHidden/>
    <w:uiPriority w:val="0"/>
    <w:rPr>
      <w:rFonts w:ascii="Times New Roman" w:hAnsi="Times New Roman" w:eastAsia="宋体" w:cs="Times New Roman"/>
      <w:b/>
      <w:kern w:val="0"/>
      <w:sz w:val="24"/>
      <w:szCs w:val="20"/>
      <w:lang w:val="zh-CN" w:eastAsia="zh-CN"/>
    </w:rPr>
  </w:style>
  <w:style w:type="character" w:customStyle="1" w:styleId="45">
    <w:name w:val="页脚 字符"/>
    <w:uiPriority w:val="99"/>
  </w:style>
  <w:style w:type="character" w:customStyle="1" w:styleId="46">
    <w:name w:val="正文文本 字符1"/>
    <w:semiHidden/>
    <w:uiPriority w:val="0"/>
    <w:rPr>
      <w:rFonts w:ascii="Times New Roman" w:hAnsi="Times New Roman" w:eastAsia="宋体"/>
      <w:sz w:val="24"/>
    </w:rPr>
  </w:style>
  <w:style w:type="character" w:customStyle="1" w:styleId="47">
    <w:name w:val="表格 Char"/>
    <w:link w:val="48"/>
    <w:locked/>
    <w:uiPriority w:val="0"/>
    <w:rPr>
      <w:rFonts w:ascii="宋体"/>
    </w:rPr>
  </w:style>
  <w:style w:type="paragraph" w:customStyle="1" w:styleId="48">
    <w:name w:val="表格"/>
    <w:basedOn w:val="1"/>
    <w:next w:val="1"/>
    <w:link w:val="47"/>
    <w:uiPriority w:val="0"/>
    <w:pPr>
      <w:adjustRightInd w:val="0"/>
      <w:snapToGrid w:val="0"/>
      <w:spacing w:beforeLines="10" w:afterLines="10" w:line="259" w:lineRule="auto"/>
      <w:jc w:val="center"/>
    </w:pPr>
    <w:rPr>
      <w:rFonts w:ascii="宋体"/>
    </w:rPr>
  </w:style>
  <w:style w:type="character" w:customStyle="1" w:styleId="49">
    <w:name w:val="日期 字符"/>
    <w:semiHidden/>
    <w:qFormat/>
    <w:uiPriority w:val="0"/>
    <w:rPr>
      <w:rFonts w:ascii="Times New Roman" w:hAnsi="Times New Roman" w:eastAsia="宋体"/>
      <w:sz w:val="24"/>
    </w:rPr>
  </w:style>
  <w:style w:type="character" w:customStyle="1" w:styleId="50">
    <w:name w:val="批注文字 字符1"/>
    <w:semiHidden/>
    <w:qFormat/>
    <w:uiPriority w:val="0"/>
    <w:rPr>
      <w:rFonts w:ascii="Times New Roman" w:hAnsi="Times New Roman" w:eastAsia="宋体"/>
      <w:sz w:val="24"/>
    </w:rPr>
  </w:style>
  <w:style w:type="paragraph" w:customStyle="1" w:styleId="51">
    <w:name w:val="正文_1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52">
    <w:name w:val="普通(网站)2"/>
    <w:basedOn w:val="1"/>
    <w:uiPriority w:val="0"/>
    <w:pPr>
      <w:widowControl/>
      <w:spacing w:before="100" w:beforeAutospacing="1" w:after="100" w:afterAutospacing="1"/>
      <w:jc w:val="left"/>
    </w:pPr>
    <w:rPr>
      <w:rFonts w:ascii="宋体" w:hAnsi="宋体" w:eastAsia="宋体" w:cs="Times New Roman"/>
      <w:sz w:val="24"/>
      <w:szCs w:val="20"/>
    </w:rPr>
  </w:style>
  <w:style w:type="paragraph" w:customStyle="1" w:styleId="53">
    <w:name w:val="表格内容"/>
    <w:basedOn w:val="1"/>
    <w:link w:val="54"/>
    <w:qFormat/>
    <w:uiPriority w:val="0"/>
    <w:pPr>
      <w:adjustRightInd w:val="0"/>
      <w:snapToGrid w:val="0"/>
      <w:jc w:val="center"/>
    </w:pPr>
    <w:rPr>
      <w:rFonts w:ascii="Times New Roman" w:hAnsi="Times New Roman" w:eastAsia="宋体" w:cs="Times New Roman"/>
      <w:szCs w:val="20"/>
      <w:lang w:val="zh-CN"/>
    </w:rPr>
  </w:style>
  <w:style w:type="character" w:customStyle="1" w:styleId="54">
    <w:name w:val="表格内容 Char"/>
    <w:link w:val="53"/>
    <w:qFormat/>
    <w:locked/>
    <w:uiPriority w:val="0"/>
    <w:rPr>
      <w:rFonts w:ascii="Times New Roman" w:hAnsi="Times New Roman" w:eastAsia="宋体" w:cs="Times New Roman"/>
      <w:szCs w:val="20"/>
      <w:lang w:val="zh-CN" w:eastAsia="zh-CN"/>
    </w:rPr>
  </w:style>
  <w:style w:type="paragraph" w:customStyle="1" w:styleId="55">
    <w:name w:val="Table Paragraph"/>
    <w:basedOn w:val="1"/>
    <w:qFormat/>
    <w:uiPriority w:val="1"/>
    <w:pPr>
      <w:jc w:val="left"/>
    </w:pPr>
    <w:rPr>
      <w:rFonts w:ascii="Calibri" w:hAnsi="Calibri" w:eastAsia="宋体" w:cs="Times New Roman"/>
      <w:kern w:val="0"/>
      <w:sz w:val="22"/>
      <w:lang w:eastAsia="en-US"/>
    </w:rPr>
  </w:style>
  <w:style w:type="paragraph" w:customStyle="1" w:styleId="56">
    <w:name w:val="中文报告书样式"/>
    <w:basedOn w:val="1"/>
    <w:qFormat/>
    <w:uiPriority w:val="0"/>
    <w:pPr>
      <w:widowControl/>
      <w:adjustRightInd w:val="0"/>
      <w:spacing w:line="480" w:lineRule="atLeast"/>
      <w:ind w:firstLine="482"/>
      <w:jc w:val="left"/>
      <w:textAlignment w:val="baseline"/>
    </w:pPr>
    <w:rPr>
      <w:rFonts w:ascii="Times New Roman" w:hAnsi="Times New Roman" w:eastAsia="仿宋_GB2312" w:cs="Times New Roman"/>
      <w:kern w:val="24"/>
      <w:sz w:val="24"/>
      <w:szCs w:val="20"/>
    </w:rPr>
  </w:style>
  <w:style w:type="paragraph" w:customStyle="1" w:styleId="57">
    <w:name w:val="表格文字"/>
    <w:basedOn w:val="1"/>
    <w:link w:val="58"/>
    <w:qFormat/>
    <w:uiPriority w:val="0"/>
    <w:pPr>
      <w:tabs>
        <w:tab w:val="left" w:pos="-2848"/>
      </w:tabs>
      <w:adjustRightInd w:val="0"/>
      <w:snapToGrid w:val="0"/>
      <w:jc w:val="center"/>
    </w:pPr>
    <w:rPr>
      <w:rFonts w:ascii="Times New Roman" w:hAnsi="Times New Roman" w:eastAsia="宋体" w:cs="Times New Roman"/>
      <w:position w:val="-10"/>
      <w:szCs w:val="20"/>
      <w:lang w:val="zh-CN"/>
    </w:rPr>
  </w:style>
  <w:style w:type="character" w:customStyle="1" w:styleId="58">
    <w:name w:val="表格文字 Char"/>
    <w:link w:val="57"/>
    <w:qFormat/>
    <w:locked/>
    <w:uiPriority w:val="0"/>
    <w:rPr>
      <w:rFonts w:ascii="Times New Roman" w:hAnsi="Times New Roman" w:eastAsia="宋体" w:cs="Times New Roman"/>
      <w:position w:val="-10"/>
      <w:szCs w:val="20"/>
      <w:lang w:val="zh-CN" w:eastAsia="zh-CN"/>
    </w:rPr>
  </w:style>
  <w:style w:type="paragraph" w:customStyle="1" w:styleId="59">
    <w:name w:val="表头2"/>
    <w:basedOn w:val="1"/>
    <w:qFormat/>
    <w:uiPriority w:val="0"/>
    <w:pPr>
      <w:adjustRightInd w:val="0"/>
      <w:snapToGrid w:val="0"/>
      <w:spacing w:before="50" w:beforeLines="50"/>
      <w:jc w:val="center"/>
    </w:pPr>
    <w:rPr>
      <w:rFonts w:ascii="Times New Roman" w:hAnsi="Times New Roman" w:eastAsia="宋体" w:cs="Times New Roman"/>
      <w:b/>
      <w:szCs w:val="24"/>
    </w:rPr>
  </w:style>
  <w:style w:type="paragraph" w:customStyle="1" w:styleId="60">
    <w:name w:val="Default"/>
    <w:qFormat/>
    <w:uiPriority w:val="0"/>
    <w:pPr>
      <w:widowControl w:val="0"/>
      <w:autoSpaceDE w:val="0"/>
      <w:autoSpaceDN w:val="0"/>
      <w:adjustRightInd w:val="0"/>
    </w:pPr>
    <w:rPr>
      <w:rFonts w:ascii="Cambria Math" w:hAnsi="Times New Roman" w:eastAsia="Times New Roman" w:cs="Cambria Math"/>
      <w:color w:val="000000"/>
      <w:sz w:val="24"/>
      <w:szCs w:val="24"/>
      <w:lang w:val="en-US" w:eastAsia="zh-CN" w:bidi="ar-SA"/>
    </w:rPr>
  </w:style>
  <w:style w:type="table" w:customStyle="1" w:styleId="61">
    <w:name w:val="Table Normal"/>
    <w:unhideWhenUsed/>
    <w:qFormat/>
    <w:uiPriority w:val="2"/>
    <w:pPr>
      <w:widowControl w:val="0"/>
      <w:autoSpaceDE w:val="0"/>
      <w:autoSpaceDN w:val="0"/>
    </w:pPr>
    <w:rPr>
      <w:rFonts w:ascii="Calibri" w:hAnsi="Calibri" w:eastAsia="宋体" w:cs="Times New Roman"/>
      <w:sz w:val="22"/>
      <w:lang w:eastAsia="en-US"/>
    </w:rPr>
    <w:tblPr>
      <w:tblCellMar>
        <w:top w:w="0" w:type="dxa"/>
        <w:left w:w="0" w:type="dxa"/>
        <w:bottom w:w="0" w:type="dxa"/>
        <w:right w:w="0" w:type="dxa"/>
      </w:tblCellMar>
    </w:tblPr>
  </w:style>
  <w:style w:type="paragraph" w:customStyle="1" w:styleId="62">
    <w:name w:val="报告表内容"/>
    <w:basedOn w:val="1"/>
    <w:uiPriority w:val="0"/>
    <w:pPr>
      <w:adjustRightInd w:val="0"/>
      <w:snapToGrid w:val="0"/>
      <w:spacing w:line="360" w:lineRule="auto"/>
      <w:ind w:firstLine="420" w:firstLineChars="200"/>
      <w:jc w:val="left"/>
    </w:pPr>
    <w:rPr>
      <w:rFonts w:ascii="Times New Roman" w:hAnsi="Times New Roman" w:eastAsia="Times New Roman" w:cs="Times New Roman"/>
      <w:szCs w:val="21"/>
    </w:rPr>
  </w:style>
  <w:style w:type="paragraph" w:customStyle="1" w:styleId="63">
    <w:name w:val="正文五号"/>
    <w:link w:val="64"/>
    <w:qFormat/>
    <w:uiPriority w:val="0"/>
    <w:pPr>
      <w:widowControl w:val="0"/>
      <w:spacing w:line="480" w:lineRule="exact"/>
      <w:ind w:firstLine="200" w:firstLineChars="200"/>
      <w:jc w:val="both"/>
      <w:textAlignment w:val="center"/>
    </w:pPr>
    <w:rPr>
      <w:rFonts w:ascii="Times New Roman" w:hAnsi="Times New Roman" w:eastAsia="宋体" w:cs="Times New Roman"/>
      <w:kern w:val="2"/>
      <w:sz w:val="21"/>
      <w:szCs w:val="24"/>
      <w:lang w:val="en-US" w:eastAsia="zh-CN" w:bidi="ar-SA"/>
    </w:rPr>
  </w:style>
  <w:style w:type="character" w:customStyle="1" w:styleId="64">
    <w:name w:val="正文五号 字符"/>
    <w:link w:val="63"/>
    <w:qFormat/>
    <w:uiPriority w:val="0"/>
    <w:rPr>
      <w:rFonts w:ascii="Times New Roman" w:hAnsi="Times New Roman" w:eastAsia="宋体" w:cs="Times New Roman"/>
      <w:szCs w:val="24"/>
    </w:rPr>
  </w:style>
  <w:style w:type="paragraph" w:customStyle="1" w:styleId="65">
    <w:name w:val="4正文 Char"/>
    <w:basedOn w:val="1"/>
    <w:qFormat/>
    <w:uiPriority w:val="0"/>
    <w:pPr>
      <w:spacing w:line="360" w:lineRule="auto"/>
      <w:ind w:firstLine="480" w:firstLineChars="200"/>
    </w:pPr>
    <w:rPr>
      <w:rFonts w:ascii="宋体" w:hAnsi="宋体" w:eastAsia="宋体" w:cs="宋体"/>
      <w:sz w:val="24"/>
      <w:szCs w:val="20"/>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theme/theme1.xml" Type="http://schemas.openxmlformats.org/officeDocument/2006/relationships/theme"/><Relationship Id="rId11" Target="embeddings/Microsoft_Visio___1.vsdx" Type="http://schemas.openxmlformats.org/officeDocument/2006/relationships/package"/><Relationship Id="rId12" Target="media/image1.emf" Type="http://schemas.openxmlformats.org/officeDocument/2006/relationships/image"/><Relationship Id="rId13" Target="embeddings/Microsoft_Visio___2.vsdx" Type="http://schemas.openxmlformats.org/officeDocument/2006/relationships/package"/><Relationship Id="rId14" Target="media/image2.emf" Type="http://schemas.openxmlformats.org/officeDocument/2006/relationships/image"/><Relationship Id="rId15" Target="media/image3.png" Type="http://schemas.openxmlformats.org/officeDocument/2006/relationships/image"/><Relationship Id="rId16" Target="media/image4.png" Type="http://schemas.openxmlformats.org/officeDocument/2006/relationships/image"/><Relationship Id="rId17" Target="media/image5.jpeg" Type="http://schemas.openxmlformats.org/officeDocument/2006/relationships/image"/><Relationship Id="rId18" Target="media/image6.jpeg" Type="http://schemas.openxmlformats.org/officeDocument/2006/relationships/image"/><Relationship Id="rId19" Target="media/image7.jpeg" Type="http://schemas.openxmlformats.org/officeDocument/2006/relationships/image"/><Relationship Id="rId2" Target="settings.xml" Type="http://schemas.openxmlformats.org/officeDocument/2006/relationships/settings"/><Relationship Id="rId20" Target="media/image8.jpeg" Type="http://schemas.openxmlformats.org/officeDocument/2006/relationships/image"/><Relationship Id="rId21" Target="media/image9.png" Type="http://schemas.openxmlformats.org/officeDocument/2006/relationships/image"/><Relationship Id="rId22" Target="media/image10.png" Type="http://schemas.openxmlformats.org/officeDocument/2006/relationships/image"/><Relationship Id="rId23" Target="../customXml/item1.xml" Type="http://schemas.openxmlformats.org/officeDocument/2006/relationships/customXml"/><Relationship Id="rId24" Target="numbering.xml" Type="http://schemas.openxmlformats.org/officeDocument/2006/relationships/numbering"/><Relationship Id="rId25" Target="../customXml/item2.xml" Type="http://schemas.openxmlformats.org/officeDocument/2006/relationships/customXml"/><Relationship Id="rId26" Target="fontTable.xml" Type="http://schemas.openxmlformats.org/officeDocument/2006/relationships/fontTable"/><Relationship Id="rId3" Target="header1.xml" Type="http://schemas.openxmlformats.org/officeDocument/2006/relationships/header"/><Relationship Id="rId4" Target="footer1.xml" Type="http://schemas.openxmlformats.org/officeDocument/2006/relationships/footer"/><Relationship Id="rId5" Target="footer2.xml" Type="http://schemas.openxmlformats.org/officeDocument/2006/relationships/footer"/><Relationship Id="rId6" Target="header2.xml" Type="http://schemas.openxmlformats.org/officeDocument/2006/relationships/header"/><Relationship Id="rId7" Target="footer3.xml" Type="http://schemas.openxmlformats.org/officeDocument/2006/relationships/footer"/><Relationship Id="rId8" Target="footer4.xml" Type="http://schemas.openxmlformats.org/officeDocument/2006/relationships/footer"/><Relationship Id="rId9" Target="footer5.xml" Type="http://schemas.openxmlformats.org/officeDocument/2006/relationships/footer"/></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62E9107-4960-4920-BCCF-ACD10624DB8A}">
  <ds:schemaRefs/>
</ds:datastoreItem>
</file>

<file path=docProps/app.xml><?xml version="1.0" encoding="utf-8"?>
<Properties xmlns="http://schemas.openxmlformats.org/officeDocument/2006/extended-properties" xmlns:vt="http://schemas.openxmlformats.org/officeDocument/2006/docPropsVTypes">
  <Template>Normal.dotm</Template>
  <Pages>49</Pages>
  <Words>28197</Words>
  <Characters>30673</Characters>
  <Lines>241</Lines>
  <Paragraphs>67</Paragraphs>
  <TotalTime>16</TotalTime>
  <ScaleCrop>false</ScaleCrop>
  <LinksUpToDate>false</LinksUpToDate>
  <CharactersWithSpaces>30954</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2022-02-23T00:46:00Z</dcterms:created>
  <dc:creator>DELL</dc:creator>
  <cp:lastModifiedBy>WPS_1644974687</cp:lastModifiedBy>
  <cp:lastPrinted>2022-08-09T01:26:00Z</cp:lastPrinted>
  <dcterms:modified xsi:type="dcterms:W3CDTF">2022-09-08T10:50:10Z</dcterms:modified>
  <cp:revision>289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47619A94AB8D44FFB000117F14A0C744</vt:lpwstr>
  </property>
</Properties>
</file>