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9980" w:type="dxa"/>
        <w:tblInd w:w="0" w:type="dxa"/>
        <w:shd w:val="clear" w:color="auto" w:fill="auto"/>
        <w:tblLayout w:type="autofit"/>
        <w:tblCellMar>
          <w:top w:w="0" w:type="dxa"/>
          <w:left w:w="0" w:type="dxa"/>
          <w:bottom w:w="0" w:type="dxa"/>
          <w:right w:w="0" w:type="dxa"/>
        </w:tblCellMar>
      </w:tblPr>
      <w:tblGrid>
        <w:gridCol w:w="9980"/>
      </w:tblGrid>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4"/>
                <w:szCs w:val="24"/>
                <w:u w:val="none"/>
                <w:lang w:val="en-US" w:eastAsia="zh-CN" w:bidi="ar"/>
              </w:rPr>
              <w:t>停止供水（气）、改（迁、拆）公共供水的审批</w:t>
            </w:r>
          </w:p>
        </w:tc>
      </w:tr>
      <w:tr>
        <w:tblPrEx>
          <w:shd w:val="clear" w:color="auto" w:fill="auto"/>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一、办理依据</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《城市供水条例》第二十二条 城市自来水供水企业和自建设施对外供水的企业应当保持不间断供水。由于工程施工、设备维修等原因确需停止供水的，应当经城市供水行政主管部门批准并提前２４小时通知用水单位和个人；因发生灾害或者紧急事故，不能提前通知的，应当在抢修的同时通知用水单位和个人，尽快恢复正常供水，并报告城市供水行政主管部门；第三十条 因工程建设需改装、拆除或者迁移城市公共供水设施的，建设单位应当报经县级以上人民政府城市规划行政主管部门和城市供水行政主管部门批准，并采取相应的补救措施。</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《城镇燃气管理条例》第二十条第二款 燃气经营者停业、歇业的，应当事先对其供气范围内的燃气用户的正常用气作出妥善安排，并在90个工作日前向所在地燃气管理部门报告，经批准方可停业、歇业。</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二、提交材料</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1、授权委托书及代理人身份证明（申请人委托他人办理时需提交）；</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2、企业营业执照及法定代表人身份证原件及复印件 ；</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3、因发生灾害或者紧急事故不能提前通知的，提供在抢修同时通知用户的证明材料和证据；</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4、停止供水提前24小时告知用水用户的工作方案；</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5、停止供气提前90个工作日提交停业歇业书面报告（含企业概况、情况说明、供气范围内燃气用户的正常用气安排、企业设备设施维护保养方案等）；</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6、拟关闭、闲置或者拆除设施的现状图及拆除方案；</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7、有保障用户用水的应急方案；</w:t>
            </w:r>
          </w:p>
        </w:tc>
      </w:tr>
      <w:tr>
        <w:tblPrEx>
          <w:shd w:val="clear" w:color="auto" w:fill="auto"/>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8、工程施工或设备维修技术方案；</w:t>
            </w:r>
          </w:p>
        </w:tc>
      </w:tr>
      <w:tr>
        <w:tblPrEx>
          <w:shd w:val="clear" w:color="auto" w:fill="auto"/>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9、《因工程施工、设备维修停止供水审批表》；</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10、《因停业、歇业停止供气审批表》；</w:t>
            </w:r>
          </w:p>
        </w:tc>
      </w:tr>
      <w:tr>
        <w:tblPrEx>
          <w:shd w:val="clear" w:color="auto" w:fill="auto"/>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三、办理流程</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材料齐全，直接到城管窗口提交材料，城管局公用事业股、供水办审查，局领导审批，城管窗口办结</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四、承诺时限</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行政许可受理起7个工作日</w:t>
            </w:r>
          </w:p>
        </w:tc>
      </w:tr>
      <w:tr>
        <w:tblPrEx>
          <w:shd w:val="clear" w:color="auto" w:fill="auto"/>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五、收费标准</w:t>
            </w:r>
          </w:p>
        </w:tc>
      </w:tr>
      <w:tr>
        <w:tblPrEx>
          <w:tblCellMar>
            <w:top w:w="0" w:type="dxa"/>
            <w:left w:w="0" w:type="dxa"/>
            <w:bottom w:w="0" w:type="dxa"/>
            <w:right w:w="0" w:type="dxa"/>
          </w:tblCellMar>
        </w:tblPrEx>
        <w:trPr>
          <w:trHeight w:val="90" w:hRule="atLeast"/>
        </w:trPr>
        <w:tc>
          <w:tcPr>
            <w:tcW w:w="99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不收费。</w:t>
            </w:r>
          </w:p>
        </w:tc>
      </w:tr>
    </w:tbl>
    <w:p>
      <w:pPr>
        <w:rPr>
          <w:rFonts w:hint="eastAsia" w:eastAsiaTheme="minorEastAsia"/>
          <w:lang w:eastAsia="zh-CN"/>
        </w:rPr>
      </w:pPr>
      <w:bookmarkStart w:id="0" w:name="_GoBack"/>
      <w:bookmarkEnd w:id="0"/>
      <w:r>
        <w:rPr>
          <w:rFonts w:hint="eastAsia" w:eastAsiaTheme="minorEastAsia"/>
          <w:lang w:eastAsia="zh-CN"/>
        </w:rPr>
        <w:drawing>
          <wp:inline distT="0" distB="0" distL="114300" distR="114300">
            <wp:extent cx="6642735" cy="2793365"/>
            <wp:effectExtent l="0" t="0" r="5715" b="6985"/>
            <wp:docPr id="1" name="图片 1" descr="sendpix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sendpix0"/>
                    <pic:cNvPicPr>
                      <a:picLocks noChangeAspect="true"/>
                    </pic:cNvPicPr>
                  </pic:nvPicPr>
                  <pic:blipFill>
                    <a:blip r:embed="rId4"/>
                    <a:stretch>
                      <a:fillRect/>
                    </a:stretch>
                  </pic:blipFill>
                  <pic:spPr>
                    <a:xfrm>
                      <a:off x="0" y="0"/>
                      <a:ext cx="6642735" cy="2793365"/>
                    </a:xfrm>
                    <a:prstGeom prst="rect">
                      <a:avLst/>
                    </a:prstGeom>
                  </pic:spPr>
                </pic:pic>
              </a:graphicData>
            </a:graphic>
          </wp:inline>
        </w:drawing>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2040204020203"/>
    <w:charset w:val="86"/>
    <w:family w:val="auto"/>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3F0074"/>
    <w:rsid w:val="17BB1D9C"/>
    <w:rsid w:val="2B3F0074"/>
    <w:rsid w:val="575D38EA"/>
    <w:rsid w:val="5F2CACDA"/>
    <w:rsid w:val="5F5E31BA"/>
    <w:rsid w:val="6BFBE8C0"/>
    <w:rsid w:val="77793090"/>
    <w:rsid w:val="779E1A4F"/>
    <w:rsid w:val="79FD15A3"/>
    <w:rsid w:val="7EFCA257"/>
    <w:rsid w:val="7FE7D328"/>
    <w:rsid w:val="7FEF3064"/>
    <w:rsid w:val="A7B94F04"/>
    <w:rsid w:val="BFBDB599"/>
    <w:rsid w:val="E37D9585"/>
    <w:rsid w:val="F9B7F70B"/>
    <w:rsid w:val="FEED1AF7"/>
    <w:rsid w:val="FF5B75EB"/>
    <w:rsid w:val="FFF6B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2021-06-09T10:12:00Z</dcterms:created>
  <dc:creator>小溪流</dc:creator>
  <cp:lastModifiedBy>fn</cp:lastModifiedBy>
  <dcterms:modified xsi:type="dcterms:W3CDTF">2021-06-21T11:56:28Z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