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pPr w:leftFromText="180" w:rightFromText="180" w:vertAnchor="page" w:horzAnchor="page" w:tblpX="532" w:tblpY="1173"/>
        <w:tblOverlap w:val="never"/>
        <w:tblW w:w="10760" w:type="dxa"/>
        <w:tblInd w:w="0" w:type="dxa"/>
        <w:shd w:val="clear" w:color="auto" w:fill="auto"/>
        <w:tblLayout w:type="autofit"/>
        <w:tblCellMar>
          <w:top w:w="0" w:type="dxa"/>
          <w:left w:w="0" w:type="dxa"/>
          <w:bottom w:w="0" w:type="dxa"/>
          <w:right w:w="0" w:type="dxa"/>
        </w:tblCellMar>
      </w:tblPr>
      <w:tblGrid>
        <w:gridCol w:w="10760"/>
      </w:tblGrid>
      <w:tr>
        <w:tblPrEx>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城市道路两侧和公共场所临时摆设摊点审批</w:t>
            </w:r>
          </w:p>
        </w:tc>
      </w:tr>
      <w:tr>
        <w:tblPrEx>
          <w:shd w:val="clear" w:color="auto" w:fill="auto"/>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一、办理依据</w:t>
            </w:r>
          </w:p>
        </w:tc>
      </w:tr>
      <w:tr>
        <w:tblPrEx>
          <w:tblCellMar>
            <w:top w:w="0" w:type="dxa"/>
            <w:left w:w="0" w:type="dxa"/>
            <w:bottom w:w="0" w:type="dxa"/>
            <w:right w:w="0" w:type="dxa"/>
          </w:tblCellMar>
        </w:tblPrEx>
        <w:trPr>
          <w:trHeight w:val="4074" w:hRule="atLeast"/>
        </w:trPr>
        <w:tc>
          <w:tcPr>
            <w:tcW w:w="1076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河北省城市市容和环境卫生条例》第二十四条在城市道路两侧或者公共场地临时摆设摊点，应当向市容和环境卫生行政主管部门提出书面申请。市容和环境卫生行政主管部门应当自接到申请之日起五个工作日内做出是否批准的答复。经营者应当按批准的时间、地点和范围从事有关经营活动，负责经营范围内的环境卫生。 县级以上人民政府应当将允许摆设摊点的城市道路两侧和公共场地向社会公布。 未经市容和环境卫生行政主管部门同意，擅自在城市道路两侧和公共场地摆设摊点，或者未按批准的时间、地点和范围从事有关经营活动的，责令停止经营；拒不停止经营的，每次处以二十元以上一百元以下的罚款。</w:t>
            </w:r>
          </w:p>
        </w:tc>
      </w:tr>
      <w:tr>
        <w:tblPrEx>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二、提交材料</w:t>
            </w:r>
          </w:p>
        </w:tc>
      </w:tr>
      <w:tr>
        <w:tblPrEx>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1、城市道路两侧和公共场所临时摆设摊点审批申请表；</w:t>
            </w:r>
          </w:p>
        </w:tc>
      </w:tr>
      <w:tr>
        <w:tblPrEx>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2、营业执照等有效证明材料复印件 ；</w:t>
            </w:r>
          </w:p>
        </w:tc>
      </w:tr>
      <w:tr>
        <w:tblPrEx>
          <w:shd w:val="clear" w:color="auto" w:fill="auto"/>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3、申请人身份证复印件；</w:t>
            </w:r>
          </w:p>
        </w:tc>
      </w:tr>
      <w:tr>
        <w:tblPrEx>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三、办理流程</w:t>
            </w:r>
          </w:p>
        </w:tc>
      </w:tr>
      <w:tr>
        <w:tblPrEx>
          <w:tblCellMar>
            <w:top w:w="0" w:type="dxa"/>
            <w:left w:w="0" w:type="dxa"/>
            <w:bottom w:w="0" w:type="dxa"/>
            <w:right w:w="0" w:type="dxa"/>
          </w:tblCellMar>
        </w:tblPrEx>
        <w:trPr>
          <w:trHeight w:val="784"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材料齐全，直接到城管局执法中队提交材料，城管局执法中队审查，主管领导审批，</w:t>
            </w:r>
            <w:r>
              <w:rPr>
                <w:rFonts w:hint="eastAsia" w:ascii="宋体" w:hAnsi="宋体" w:eastAsia="宋体" w:cs="宋体"/>
                <w:i w:val="0"/>
                <w:color w:val="000000"/>
                <w:kern w:val="0"/>
                <w:sz w:val="21"/>
                <w:szCs w:val="21"/>
                <w:u w:val="none"/>
                <w:lang w:val="en-US" w:eastAsia="zh-CN" w:bidi="ar"/>
              </w:rPr>
              <w:t>执法中队</w:t>
            </w:r>
            <w:r>
              <w:rPr>
                <w:rFonts w:hint="eastAsia" w:ascii="宋体" w:hAnsi="宋体" w:eastAsia="宋体" w:cs="宋体"/>
                <w:i w:val="0"/>
                <w:color w:val="000000"/>
                <w:kern w:val="0"/>
                <w:sz w:val="21"/>
                <w:szCs w:val="21"/>
                <w:u w:val="none"/>
                <w:lang w:val="en-US" w:eastAsia="zh-CN" w:bidi="ar"/>
              </w:rPr>
              <w:t>办结</w:t>
            </w:r>
          </w:p>
        </w:tc>
      </w:tr>
      <w:tr>
        <w:tblPrEx>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四、承诺时限</w:t>
            </w:r>
          </w:p>
        </w:tc>
      </w:tr>
      <w:tr>
        <w:tblPrEx>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行政许可受理起5个工作日</w:t>
            </w:r>
          </w:p>
        </w:tc>
      </w:tr>
      <w:tr>
        <w:tblPrEx>
          <w:shd w:val="clear" w:color="auto" w:fill="auto"/>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五、收费标准</w:t>
            </w:r>
          </w:p>
        </w:tc>
      </w:tr>
      <w:tr>
        <w:tblPrEx>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不收费。</w:t>
            </w:r>
          </w:p>
        </w:tc>
      </w:tr>
      <w:tr>
        <w:tblPrEx>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地址： 秦皇岛市抚宁区抚宁镇迎宾路132号</w:t>
            </w:r>
          </w:p>
        </w:tc>
      </w:tr>
      <w:tr>
        <w:tblPrEx>
          <w:shd w:val="clear" w:color="auto" w:fill="auto"/>
          <w:tblCellMar>
            <w:top w:w="0" w:type="dxa"/>
            <w:left w:w="0" w:type="dxa"/>
            <w:bottom w:w="0" w:type="dxa"/>
            <w:right w:w="0" w:type="dxa"/>
          </w:tblCellMar>
        </w:tblPrEx>
        <w:trPr>
          <w:trHeight w:val="430"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单位电话：7136589</w:t>
            </w:r>
          </w:p>
        </w:tc>
      </w:tr>
      <w:tr>
        <w:tblPrEx>
          <w:tblCellMar>
            <w:top w:w="0" w:type="dxa"/>
            <w:left w:w="0" w:type="dxa"/>
            <w:bottom w:w="0" w:type="dxa"/>
            <w:right w:w="0" w:type="dxa"/>
          </w:tblCellMar>
        </w:tblPrEx>
        <w:trPr>
          <w:trHeight w:val="824" w:hRule="atLeast"/>
        </w:trPr>
        <w:tc>
          <w:tcPr>
            <w:tcW w:w="10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p>
        </w:tc>
      </w:tr>
    </w:tbl>
    <w:p>
      <w:pPr>
        <w:rPr>
          <w:rFonts w:hint="eastAsia" w:eastAsiaTheme="minorEastAsia"/>
          <w:lang w:eastAsia="zh-CN"/>
        </w:rPr>
      </w:pPr>
      <w:r>
        <w:rPr>
          <w:rFonts w:hint="eastAsia" w:eastAsiaTheme="minorEastAsia"/>
          <w:lang w:eastAsia="zh-CN"/>
        </w:rPr>
        <w:drawing>
          <wp:inline distT="0" distB="0" distL="114300" distR="114300">
            <wp:extent cx="6640195" cy="1832610"/>
            <wp:effectExtent l="0" t="0" r="8255" b="15240"/>
            <wp:docPr id="1" name="图片 1" descr="sendpix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sendpix1"/>
                    <pic:cNvPicPr>
                      <a:picLocks noChangeAspect="true"/>
                    </pic:cNvPicPr>
                  </pic:nvPicPr>
                  <pic:blipFill>
                    <a:blip r:embed="rId4"/>
                    <a:stretch>
                      <a:fillRect/>
                    </a:stretch>
                  </pic:blipFill>
                  <pic:spPr>
                    <a:xfrm>
                      <a:off x="0" y="0"/>
                      <a:ext cx="6640195" cy="1832610"/>
                    </a:xfrm>
                    <a:prstGeom prst="rect">
                      <a:avLst/>
                    </a:prstGeom>
                  </pic:spPr>
                </pic:pic>
              </a:graphicData>
            </a:graphic>
          </wp:inline>
        </w:drawing>
      </w:r>
      <w:bookmarkStart w:id="0" w:name="_GoBack"/>
      <w:bookmarkEnd w:id="0"/>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2040204020203"/>
    <w:charset w:val="86"/>
    <w:family w:val="auto"/>
    <w:pitch w:val="default"/>
    <w:sig w:usb0="80000287" w:usb1="2ACF001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4E65B2"/>
    <w:rsid w:val="11A529C3"/>
    <w:rsid w:val="3F7BB165"/>
    <w:rsid w:val="4D4E65B2"/>
    <w:rsid w:val="5CD3202B"/>
    <w:rsid w:val="6B7FAB0E"/>
    <w:rsid w:val="6EFDBED2"/>
    <w:rsid w:val="6F78DD0F"/>
    <w:rsid w:val="FF5D12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media/image1.jpeg" Type="http://schemas.openxmlformats.org/officeDocument/2006/relationships/imag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Office_11.8.2.9695_F1E327BC-269C-435d-A152-05C5408002CA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2021-06-09T09:48:00Z</dcterms:created>
  <dc:creator>Administrator</dc:creator>
  <cp:lastModifiedBy>fn</cp:lastModifiedBy>
  <cp:lastPrinted>2021-06-10T08:35:00Z</cp:lastPrinted>
  <dcterms:modified xsi:type="dcterms:W3CDTF">2021-06-21T11:53:10Z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2052-11.8.2.9695</vt:lpwstr>
  </property>
</Properties>
</file>