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837" w:tblpY="828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从事生活垃圾（含粪便）经营性清扫、收集、运输、处理服务审批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一、办理依据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《国务院对确需保留的行政审批项目设定行政许可的决定》（2004年6月29日国务院令第412号，2009年1月29日予以修改）附件第102项：从事城市生活垃圾经营性清扫、收集、运输、处理服务审批，实施机关：所在城市的市人民政府市容环境卫生行政主管部门。</w:t>
            </w:r>
          </w:p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</w:p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二、提交材料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1、 具有健全的技术、质量、安全和监测管理制度并得到有效执行 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2、 生活垃圾处理设施配备沼气检测仪器，配备环境监测设施如渗沥液监测井、尾气取样孔、安装在线监测系统 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3、采用技术、工艺符合国家有关标准。有至少5名具有初级以上专业技术职称的人员，其中包括环境工程、机械、环境监测等专业技术人员；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4、卫生填埋场、堆肥场和焚烧厂的选址符合城乡规划，并取得规划许可文件；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5、具备企业法人资格。规模小于100吨/日的卫生填埋场和堆肥场的注册资本不少于人民币500万元；规模大于100吨/日的卫生填埋场和堆肥场的注册资本不少于人民币5000万元；焚烧厂的注册资本不少于人民币1亿元；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6、具备企业法人资格。从事垃圾清扫、收集的企业注册资本不少于人民币100万元，从事垃圾运输的企业注册资本不少于人民币300万元；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7、机械清扫能力达到总清扫能力的20%以上，机械清扫车辆包括洒水车和清扫保洁车辆。机械清扫车辆应当鱼油自动洒水、防尘、防遗撒、安全警示功能，安装车辆行驶及清扫过程记录仪；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ind w:firstLine="420" w:firstLineChars="20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8、垃圾收集应当采用全密闭运输工具，并应当具有分类收集功能；垃圾运输应当采用全密闭自动卸载车辆或船只，具有防臭味扩散、防遗撒、防渗沥液滴漏功能，安装行驶及装卸记录仪；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ind w:firstLine="420" w:firstLineChars="20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9、具有合法的道路运输经营许可证车辆行驶证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ind w:firstLine="420" w:firstLineChars="200"/>
              <w:jc w:val="left"/>
              <w:rPr>
                <w:rFonts w:hint="eastAsia" w:ascii="方正书宋_GBK" w:hAns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/>
                <w:color w:val="000000"/>
                <w:sz w:val="21"/>
                <w:szCs w:val="21"/>
              </w:rPr>
              <w:t>10、具有固定的办公及机械、设备、车辆、船只停放场所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三、办理流程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材料齐全，直接到城管局环卫科提交材料，城管局环卫科审查，主管领导审批，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环卫科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四、承诺时限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 行政许可受理起10个工作日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五、收费标准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不收费。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中心地址：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秦皇岛市抚宁区抚宁镇迎宾路132号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096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  <w:lang w:eastAsia="zh-CN"/>
              </w:rPr>
              <w:t>科室</w:t>
            </w:r>
            <w:r>
              <w:rPr>
                <w:rFonts w:hint="eastAsia" w:ascii="宋体" w:hAnsi="宋体"/>
                <w:color w:val="000000"/>
                <w:sz w:val="21"/>
                <w:szCs w:val="21"/>
              </w:rPr>
              <w:t>电话：</w:t>
            </w:r>
            <w:r>
              <w:rPr>
                <w:rFonts w:hint="eastAsia" w:ascii="宋体" w:hAnsi="宋体"/>
                <w:color w:val="000000"/>
                <w:sz w:val="21"/>
                <w:szCs w:val="21"/>
                <w:lang w:val="en-US" w:eastAsia="zh-CN"/>
              </w:rPr>
              <w:t>7136620</w:t>
            </w:r>
          </w:p>
        </w:tc>
      </w:tr>
    </w:tbl>
    <w:p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6849745" cy="2054860"/>
            <wp:effectExtent l="0" t="0" r="8255" b="2540"/>
            <wp:docPr id="1" name="图片 1" descr="sendpix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sendpix1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849745" cy="205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2240" w:h="15840"/>
      <w:pgMar w:top="720" w:right="720" w:bottom="720" w:left="72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AAB7BD8"/>
    <w:rsid w:val="2FB75420"/>
    <w:rsid w:val="39DB25B7"/>
    <w:rsid w:val="56CFCE9F"/>
    <w:rsid w:val="77FB828E"/>
    <w:rsid w:val="7BFE9059"/>
    <w:rsid w:val="7C7F1266"/>
    <w:rsid w:val="7D99C349"/>
    <w:rsid w:val="7EFFB179"/>
    <w:rsid w:val="867FF221"/>
    <w:rsid w:val="BBE77E39"/>
    <w:rsid w:val="BBFD1F2E"/>
    <w:rsid w:val="BE7B7C97"/>
    <w:rsid w:val="F7CE56BD"/>
    <w:rsid w:val="FA75A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eastAsia="宋体" w:asciiTheme="minorHAnsi" w:hAnsiTheme="minorHAnsi" w:cstheme="minorBidi"/>
      <w:kern w:val="2"/>
      <w:sz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Office_11.8.2.9695_F1E327BC-269C-435d-A152-05C5408002CA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2021-06-09T18:02:00Z</dcterms:created>
  <dc:creator>小溪流</dc:creator>
  <cp:lastModifiedBy>fn</cp:lastModifiedBy>
  <dcterms:modified xsi:type="dcterms:W3CDTF">2021-06-21T11:45:38Z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</Properties>
</file>