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20" w:lineRule="exact"/>
        <w:jc w:val="center"/>
        <w:rPr>
          <w:rFonts w:ascii="方正小标宋简体" w:eastAsia="方正小标宋简体" w:cs="Times New Roman"/>
        </w:rPr>
      </w:pPr>
      <w:r>
        <w:rPr>
          <w:rFonts w:hint="eastAsia" w:ascii="方正小标宋简体" w:eastAsia="方正小标宋简体" w:cs="方正小标宋简体"/>
        </w:rPr>
        <w:t>秦皇岛市</w:t>
      </w:r>
      <w:r>
        <w:rPr>
          <w:rFonts w:hint="eastAsia" w:ascii="方正小标宋简体" w:eastAsia="方正小标宋简体" w:cs="方正小标宋简体"/>
          <w:lang w:eastAsia="zh-CN"/>
        </w:rPr>
        <w:t>抚宁区自然资源和规划局</w:t>
      </w:r>
      <w:r>
        <w:rPr>
          <w:rFonts w:hint="eastAsia" w:ascii="方正小标宋简体" w:eastAsia="方正小标宋简体" w:cs="方正小标宋简体"/>
        </w:rPr>
        <w:t>保留证明事项目录</w:t>
      </w:r>
    </w:p>
    <w:tbl>
      <w:tblPr>
        <w:tblStyle w:val="9"/>
        <w:tblW w:w="13752" w:type="dxa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1015"/>
        <w:gridCol w:w="993"/>
        <w:gridCol w:w="2281"/>
        <w:gridCol w:w="2199"/>
        <w:gridCol w:w="2053"/>
        <w:gridCol w:w="2058"/>
        <w:gridCol w:w="894"/>
        <w:gridCol w:w="831"/>
        <w:gridCol w:w="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tblHeader/>
        </w:trPr>
        <w:tc>
          <w:tcPr>
            <w:tcW w:w="604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序号</w:t>
            </w:r>
          </w:p>
        </w:tc>
        <w:tc>
          <w:tcPr>
            <w:tcW w:w="1015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事项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名称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事项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用途</w:t>
            </w:r>
          </w:p>
        </w:tc>
        <w:tc>
          <w:tcPr>
            <w:tcW w:w="8591" w:type="dxa"/>
            <w:gridSpan w:val="4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设定依据</w:t>
            </w:r>
          </w:p>
        </w:tc>
        <w:tc>
          <w:tcPr>
            <w:tcW w:w="894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索证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部门</w:t>
            </w:r>
          </w:p>
        </w:tc>
        <w:tc>
          <w:tcPr>
            <w:tcW w:w="831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出具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部门</w:t>
            </w:r>
          </w:p>
        </w:tc>
        <w:tc>
          <w:tcPr>
            <w:tcW w:w="824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" w:hRule="atLeast"/>
          <w:tblHeader/>
        </w:trPr>
        <w:tc>
          <w:tcPr>
            <w:tcW w:w="604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1015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993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2281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法律</w:t>
            </w:r>
          </w:p>
        </w:tc>
        <w:tc>
          <w:tcPr>
            <w:tcW w:w="2199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法规</w:t>
            </w:r>
          </w:p>
        </w:tc>
        <w:tc>
          <w:tcPr>
            <w:tcW w:w="2053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国务院决定</w:t>
            </w:r>
          </w:p>
        </w:tc>
        <w:tc>
          <w:tcPr>
            <w:tcW w:w="2058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规章等程序性规定</w:t>
            </w:r>
          </w:p>
        </w:tc>
        <w:tc>
          <w:tcPr>
            <w:tcW w:w="894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831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824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0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color w:val="auto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  <w:lang w:val="en-US" w:eastAsia="zh-CN"/>
              </w:rPr>
              <w:t>1</w:t>
            </w:r>
          </w:p>
        </w:tc>
        <w:tc>
          <w:tcPr>
            <w:tcW w:w="101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不动产坐落变更证明</w:t>
            </w:r>
          </w:p>
        </w:tc>
        <w:tc>
          <w:tcPr>
            <w:tcW w:w="99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不动产登记</w:t>
            </w:r>
          </w:p>
        </w:tc>
        <w:tc>
          <w:tcPr>
            <w:tcW w:w="228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199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《不动产登记暂行条例》（国务院令第</w:t>
            </w:r>
            <w:r>
              <w:rPr>
                <w:color w:val="auto"/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号）第十五条、第十六条</w:t>
            </w:r>
          </w:p>
        </w:tc>
        <w:tc>
          <w:tcPr>
            <w:tcW w:w="205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color w:val="auto"/>
                <w:kern w:val="0"/>
                <w:sz w:val="15"/>
                <w:szCs w:val="15"/>
              </w:rPr>
            </w:pPr>
            <w:r>
              <w:rPr>
                <w:color w:val="auto"/>
                <w:kern w:val="0"/>
                <w:sz w:val="15"/>
                <w:szCs w:val="15"/>
              </w:rPr>
              <w:t xml:space="preserve">    </w:t>
            </w:r>
          </w:p>
        </w:tc>
        <w:tc>
          <w:tcPr>
            <w:tcW w:w="205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color w:val="auto"/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号）第二十六条</w:t>
            </w:r>
          </w:p>
        </w:tc>
        <w:tc>
          <w:tcPr>
            <w:tcW w:w="894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地名管理部门</w:t>
            </w:r>
          </w:p>
        </w:tc>
        <w:tc>
          <w:tcPr>
            <w:tcW w:w="82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" w:hRule="atLeast"/>
        </w:trPr>
        <w:tc>
          <w:tcPr>
            <w:tcW w:w="60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color w:val="auto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  <w:lang w:val="en-US" w:eastAsia="zh-CN"/>
              </w:rPr>
              <w:t>2</w:t>
            </w:r>
          </w:p>
        </w:tc>
        <w:tc>
          <w:tcPr>
            <w:tcW w:w="101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与被继承人的亲属关系证明</w:t>
            </w:r>
          </w:p>
        </w:tc>
        <w:tc>
          <w:tcPr>
            <w:tcW w:w="99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不动产登记</w:t>
            </w:r>
          </w:p>
        </w:tc>
        <w:tc>
          <w:tcPr>
            <w:tcW w:w="228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199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《不动产登记暂行条例》</w:t>
            </w:r>
            <w:r>
              <w:rPr>
                <w:color w:val="auto"/>
                <w:kern w:val="0"/>
                <w:sz w:val="15"/>
                <w:szCs w:val="15"/>
              </w:rPr>
              <w:t>(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国务院令第</w:t>
            </w:r>
            <w:r>
              <w:rPr>
                <w:color w:val="auto"/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</w:t>
            </w:r>
            <w:r>
              <w:rPr>
                <w:color w:val="auto"/>
                <w:kern w:val="0"/>
                <w:sz w:val="15"/>
                <w:szCs w:val="15"/>
              </w:rPr>
              <w:t>)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第十六条</w:t>
            </w:r>
          </w:p>
        </w:tc>
        <w:tc>
          <w:tcPr>
            <w:tcW w:w="2053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color w:val="auto"/>
                <w:kern w:val="0"/>
                <w:sz w:val="15"/>
                <w:szCs w:val="15"/>
              </w:rPr>
            </w:pPr>
          </w:p>
        </w:tc>
        <w:tc>
          <w:tcPr>
            <w:tcW w:w="205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color w:val="auto"/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号）第十四条</w:t>
            </w:r>
          </w:p>
        </w:tc>
        <w:tc>
          <w:tcPr>
            <w:tcW w:w="894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户口所在地公安派出所、村（居）委会、用人单位</w:t>
            </w:r>
          </w:p>
        </w:tc>
        <w:tc>
          <w:tcPr>
            <w:tcW w:w="82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0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color w:val="auto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  <w:lang w:val="en-US" w:eastAsia="zh-CN"/>
              </w:rPr>
              <w:t>3</w:t>
            </w:r>
          </w:p>
        </w:tc>
        <w:tc>
          <w:tcPr>
            <w:tcW w:w="101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监护人证明或指定监护人关系证明（户口簿等不能证明的）</w:t>
            </w:r>
          </w:p>
        </w:tc>
        <w:tc>
          <w:tcPr>
            <w:tcW w:w="99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监护人代为申请登记的</w:t>
            </w:r>
          </w:p>
        </w:tc>
        <w:tc>
          <w:tcPr>
            <w:tcW w:w="228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199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《不动产登记暂行条例》</w:t>
            </w:r>
            <w:r>
              <w:rPr>
                <w:color w:val="auto"/>
                <w:kern w:val="0"/>
                <w:sz w:val="15"/>
                <w:szCs w:val="15"/>
              </w:rPr>
              <w:t>(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国务院令第</w:t>
            </w:r>
            <w:r>
              <w:rPr>
                <w:color w:val="auto"/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</w:t>
            </w:r>
            <w:r>
              <w:rPr>
                <w:color w:val="auto"/>
                <w:kern w:val="0"/>
                <w:sz w:val="15"/>
                <w:szCs w:val="15"/>
              </w:rPr>
              <w:t>)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第十六条</w:t>
            </w:r>
          </w:p>
        </w:tc>
        <w:tc>
          <w:tcPr>
            <w:tcW w:w="2053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color w:val="auto"/>
                <w:kern w:val="0"/>
                <w:sz w:val="15"/>
                <w:szCs w:val="15"/>
              </w:rPr>
            </w:pPr>
          </w:p>
        </w:tc>
        <w:tc>
          <w:tcPr>
            <w:tcW w:w="205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color w:val="auto"/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号）第十一条</w:t>
            </w:r>
          </w:p>
        </w:tc>
        <w:tc>
          <w:tcPr>
            <w:tcW w:w="894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户口所在地公安派出所、民政部门等</w:t>
            </w:r>
          </w:p>
        </w:tc>
        <w:tc>
          <w:tcPr>
            <w:tcW w:w="82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0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color w:val="auto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  <w:lang w:val="en-US" w:eastAsia="zh-CN"/>
              </w:rPr>
              <w:t>4</w:t>
            </w:r>
          </w:p>
        </w:tc>
        <w:tc>
          <w:tcPr>
            <w:tcW w:w="101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被继承人或遗赠人死亡证明</w:t>
            </w:r>
          </w:p>
        </w:tc>
        <w:tc>
          <w:tcPr>
            <w:tcW w:w="99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不动产登记</w:t>
            </w:r>
          </w:p>
        </w:tc>
        <w:tc>
          <w:tcPr>
            <w:tcW w:w="228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199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《不动产登记暂行条例》（国务院令第</w:t>
            </w:r>
            <w:r>
              <w:rPr>
                <w:color w:val="auto"/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号，</w:t>
            </w:r>
            <w:r>
              <w:rPr>
                <w:color w:val="auto"/>
                <w:kern w:val="0"/>
                <w:sz w:val="15"/>
                <w:szCs w:val="15"/>
              </w:rPr>
              <w:t>2019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年</w:t>
            </w:r>
            <w:r>
              <w:rPr>
                <w:color w:val="auto"/>
                <w:kern w:val="0"/>
                <w:sz w:val="15"/>
                <w:szCs w:val="15"/>
              </w:rPr>
              <w:t>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月</w:t>
            </w:r>
            <w:r>
              <w:rPr>
                <w:color w:val="auto"/>
                <w:kern w:val="0"/>
                <w:sz w:val="15"/>
                <w:szCs w:val="15"/>
              </w:rPr>
              <w:t>24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日修订）第十六条</w:t>
            </w:r>
            <w:r>
              <w:rPr>
                <w:color w:val="auto"/>
                <w:kern w:val="0"/>
                <w:sz w:val="15"/>
                <w:szCs w:val="15"/>
              </w:rPr>
              <w:t xml:space="preserve"> </w:t>
            </w:r>
          </w:p>
        </w:tc>
        <w:tc>
          <w:tcPr>
            <w:tcW w:w="2053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color w:val="auto"/>
                <w:kern w:val="0"/>
                <w:sz w:val="15"/>
                <w:szCs w:val="15"/>
              </w:rPr>
            </w:pPr>
          </w:p>
        </w:tc>
        <w:tc>
          <w:tcPr>
            <w:tcW w:w="205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color w:val="auto"/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号，</w:t>
            </w:r>
            <w:r>
              <w:rPr>
                <w:color w:val="auto"/>
                <w:kern w:val="0"/>
                <w:sz w:val="15"/>
                <w:szCs w:val="15"/>
              </w:rPr>
              <w:t>2016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年</w:t>
            </w:r>
            <w:r>
              <w:rPr>
                <w:color w:val="auto"/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月</w:t>
            </w:r>
            <w:r>
              <w:rPr>
                <w:color w:val="auto"/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日公布实施）第二十七条</w:t>
            </w:r>
          </w:p>
        </w:tc>
        <w:tc>
          <w:tcPr>
            <w:tcW w:w="894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公安机关、法院、医疗机构、村（居）委会</w:t>
            </w:r>
          </w:p>
        </w:tc>
        <w:tc>
          <w:tcPr>
            <w:tcW w:w="82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0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color w:val="auto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  <w:lang w:val="en-US" w:eastAsia="zh-CN"/>
              </w:rPr>
              <w:t>5</w:t>
            </w:r>
          </w:p>
        </w:tc>
        <w:tc>
          <w:tcPr>
            <w:tcW w:w="101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个人姓名变更登记</w:t>
            </w:r>
          </w:p>
        </w:tc>
        <w:tc>
          <w:tcPr>
            <w:tcW w:w="993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申请国有建设用地使用权及房屋所有权变更登记</w:t>
            </w:r>
          </w:p>
        </w:tc>
        <w:tc>
          <w:tcPr>
            <w:tcW w:w="2281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color w:val="auto"/>
                <w:kern w:val="0"/>
                <w:sz w:val="15"/>
                <w:szCs w:val="15"/>
              </w:rPr>
            </w:pPr>
          </w:p>
        </w:tc>
        <w:tc>
          <w:tcPr>
            <w:tcW w:w="2199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《不动产登记暂行条例》（国务院令第</w:t>
            </w:r>
            <w:r>
              <w:rPr>
                <w:color w:val="auto"/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号，</w:t>
            </w:r>
            <w:r>
              <w:rPr>
                <w:color w:val="auto"/>
                <w:kern w:val="0"/>
                <w:sz w:val="15"/>
                <w:szCs w:val="15"/>
              </w:rPr>
              <w:t>2019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年</w:t>
            </w:r>
            <w:r>
              <w:rPr>
                <w:color w:val="auto"/>
                <w:kern w:val="0"/>
                <w:sz w:val="15"/>
                <w:szCs w:val="15"/>
              </w:rPr>
              <w:t>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月</w:t>
            </w:r>
            <w:r>
              <w:rPr>
                <w:color w:val="auto"/>
                <w:kern w:val="0"/>
                <w:sz w:val="15"/>
                <w:szCs w:val="15"/>
              </w:rPr>
              <w:t>24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日修订）第十四条、第十六条</w:t>
            </w:r>
          </w:p>
        </w:tc>
        <w:tc>
          <w:tcPr>
            <w:tcW w:w="2053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color w:val="auto"/>
                <w:kern w:val="0"/>
                <w:sz w:val="15"/>
                <w:szCs w:val="15"/>
              </w:rPr>
            </w:pPr>
          </w:p>
        </w:tc>
        <w:tc>
          <w:tcPr>
            <w:tcW w:w="205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color w:val="auto"/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号，</w:t>
            </w:r>
            <w:r>
              <w:rPr>
                <w:color w:val="auto"/>
                <w:kern w:val="0"/>
                <w:sz w:val="15"/>
                <w:szCs w:val="15"/>
              </w:rPr>
              <w:t>2016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年</w:t>
            </w:r>
            <w:r>
              <w:rPr>
                <w:color w:val="auto"/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月</w:t>
            </w:r>
            <w:r>
              <w:rPr>
                <w:color w:val="auto"/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日实施）第三十七条</w:t>
            </w:r>
          </w:p>
        </w:tc>
        <w:tc>
          <w:tcPr>
            <w:tcW w:w="894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市、县级自然资源规划部门</w:t>
            </w:r>
          </w:p>
        </w:tc>
        <w:tc>
          <w:tcPr>
            <w:tcW w:w="831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</w:rPr>
            </w:pPr>
            <w:r>
              <w:rPr>
                <w:rFonts w:hint="eastAsia"/>
                <w:color w:val="auto"/>
                <w:kern w:val="0"/>
                <w:sz w:val="15"/>
                <w:szCs w:val="15"/>
              </w:rPr>
              <w:t>户口所在地公安派出所</w:t>
            </w:r>
          </w:p>
        </w:tc>
        <w:tc>
          <w:tcPr>
            <w:tcW w:w="824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color w:val="auto"/>
                <w:kern w:val="0"/>
                <w:sz w:val="15"/>
                <w:szCs w:val="15"/>
                <w:u w:val="single"/>
              </w:rPr>
            </w:pPr>
          </w:p>
        </w:tc>
      </w:tr>
    </w:tbl>
    <w:p>
      <w:pPr>
        <w:pStyle w:val="2"/>
        <w:spacing w:line="520" w:lineRule="exact"/>
        <w:jc w:val="left"/>
        <w:rPr>
          <w:rFonts w:ascii="黑体" w:eastAsia="黑体" w:cs="Times New Roman"/>
          <w:sz w:val="32"/>
          <w:szCs w:val="32"/>
        </w:rPr>
      </w:pPr>
    </w:p>
    <w:p>
      <w:pPr>
        <w:pStyle w:val="2"/>
        <w:spacing w:line="520" w:lineRule="exact"/>
        <w:jc w:val="left"/>
        <w:rPr>
          <w:rFonts w:ascii="黑体" w:eastAsia="黑体" w:cs="Times New Roman"/>
          <w:sz w:val="32"/>
          <w:szCs w:val="32"/>
        </w:rPr>
      </w:pPr>
    </w:p>
    <w:p>
      <w:pPr>
        <w:pStyle w:val="2"/>
        <w:spacing w:line="520" w:lineRule="exact"/>
        <w:jc w:val="center"/>
        <w:rPr>
          <w:rFonts w:hint="eastAsia" w:ascii="方正小标宋简体" w:eastAsia="方正小标宋简体" w:cs="方正小标宋简体"/>
        </w:rPr>
      </w:pPr>
    </w:p>
    <w:p>
      <w:pPr>
        <w:pStyle w:val="2"/>
        <w:spacing w:line="520" w:lineRule="exact"/>
        <w:jc w:val="center"/>
        <w:rPr>
          <w:rFonts w:ascii="方正小标宋简体" w:eastAsia="方正小标宋简体" w:cs="Times New Roman"/>
        </w:rPr>
      </w:pPr>
      <w:r>
        <w:rPr>
          <w:rFonts w:hint="eastAsia" w:ascii="方正小标宋简体" w:eastAsia="方正小标宋简体" w:cs="方正小标宋简体"/>
        </w:rPr>
        <w:t>秦皇岛市</w:t>
      </w:r>
      <w:r>
        <w:rPr>
          <w:rFonts w:hint="eastAsia" w:ascii="方正小标宋简体" w:eastAsia="方正小标宋简体" w:cs="方正小标宋简体"/>
          <w:lang w:eastAsia="zh-CN"/>
        </w:rPr>
        <w:t>抚宁区自然资源和规划局</w:t>
      </w:r>
      <w:r>
        <w:rPr>
          <w:rFonts w:hint="eastAsia" w:ascii="方正小标宋简体" w:eastAsia="方正小标宋简体" w:cs="方正小标宋简体"/>
        </w:rPr>
        <w:t>实行告知承诺制证明事项目录</w:t>
      </w:r>
    </w:p>
    <w:tbl>
      <w:tblPr>
        <w:tblStyle w:val="9"/>
        <w:tblW w:w="13718" w:type="dxa"/>
        <w:tblInd w:w="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887"/>
        <w:gridCol w:w="1000"/>
        <w:gridCol w:w="2300"/>
        <w:gridCol w:w="2218"/>
        <w:gridCol w:w="2070"/>
        <w:gridCol w:w="2075"/>
        <w:gridCol w:w="900"/>
        <w:gridCol w:w="837"/>
        <w:gridCol w:w="8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tblHeader/>
        </w:trPr>
        <w:tc>
          <w:tcPr>
            <w:tcW w:w="601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序号</w:t>
            </w:r>
          </w:p>
        </w:tc>
        <w:tc>
          <w:tcPr>
            <w:tcW w:w="887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事项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名称</w:t>
            </w:r>
          </w:p>
        </w:tc>
        <w:tc>
          <w:tcPr>
            <w:tcW w:w="1000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事项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用途</w:t>
            </w:r>
          </w:p>
        </w:tc>
        <w:tc>
          <w:tcPr>
            <w:tcW w:w="8663" w:type="dxa"/>
            <w:gridSpan w:val="4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设定依据</w:t>
            </w:r>
          </w:p>
        </w:tc>
        <w:tc>
          <w:tcPr>
            <w:tcW w:w="900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索证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部门</w:t>
            </w:r>
          </w:p>
        </w:tc>
        <w:tc>
          <w:tcPr>
            <w:tcW w:w="837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出具</w:t>
            </w:r>
          </w:p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部门</w:t>
            </w:r>
          </w:p>
        </w:tc>
        <w:tc>
          <w:tcPr>
            <w:tcW w:w="830" w:type="dxa"/>
            <w:vMerge w:val="restart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kern w:val="0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" w:hRule="atLeast"/>
          <w:tblHeader/>
        </w:trPr>
        <w:tc>
          <w:tcPr>
            <w:tcW w:w="601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887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1000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2300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法律</w:t>
            </w:r>
          </w:p>
        </w:tc>
        <w:tc>
          <w:tcPr>
            <w:tcW w:w="2218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法规</w:t>
            </w:r>
          </w:p>
        </w:tc>
        <w:tc>
          <w:tcPr>
            <w:tcW w:w="2070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国务院决定</w:t>
            </w:r>
          </w:p>
        </w:tc>
        <w:tc>
          <w:tcPr>
            <w:tcW w:w="2075" w:type="dxa"/>
            <w:vAlign w:val="center"/>
          </w:tcPr>
          <w:p>
            <w:pPr>
              <w:pStyle w:val="2"/>
              <w:spacing w:line="200" w:lineRule="exact"/>
              <w:jc w:val="center"/>
              <w:rPr>
                <w:rFonts w:ascii="黑体" w:eastAsia="黑体" w:cs="Times New Roman"/>
                <w:sz w:val="15"/>
                <w:szCs w:val="15"/>
              </w:rPr>
            </w:pPr>
            <w:r>
              <w:rPr>
                <w:rFonts w:hint="eastAsia" w:ascii="黑体" w:eastAsia="黑体" w:cs="黑体"/>
                <w:kern w:val="0"/>
                <w:sz w:val="15"/>
                <w:szCs w:val="15"/>
              </w:rPr>
              <w:t>规章等程序性规定</w:t>
            </w:r>
          </w:p>
        </w:tc>
        <w:tc>
          <w:tcPr>
            <w:tcW w:w="900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837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  <w:tc>
          <w:tcPr>
            <w:tcW w:w="830" w:type="dxa"/>
            <w:vMerge w:val="continue"/>
            <w:vAlign w:val="center"/>
          </w:tcPr>
          <w:p>
            <w:pPr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" w:hRule="atLeast"/>
        </w:trPr>
        <w:tc>
          <w:tcPr>
            <w:tcW w:w="601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kern w:val="0"/>
                <w:sz w:val="15"/>
                <w:szCs w:val="15"/>
                <w:lang w:val="en-US" w:eastAsia="zh-CN"/>
              </w:rPr>
              <w:t>1</w:t>
            </w:r>
          </w:p>
        </w:tc>
        <w:tc>
          <w:tcPr>
            <w:tcW w:w="887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与被继承人的亲属关系证明</w:t>
            </w:r>
          </w:p>
        </w:tc>
        <w:tc>
          <w:tcPr>
            <w:tcW w:w="10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不动产登记</w:t>
            </w:r>
          </w:p>
        </w:tc>
        <w:tc>
          <w:tcPr>
            <w:tcW w:w="23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21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《不动产登记暂行条例》</w:t>
            </w:r>
            <w:r>
              <w:rPr>
                <w:kern w:val="0"/>
                <w:sz w:val="15"/>
                <w:szCs w:val="15"/>
              </w:rPr>
              <w:t>(</w:t>
            </w:r>
            <w:r>
              <w:rPr>
                <w:rFonts w:hint="eastAsia"/>
                <w:kern w:val="0"/>
                <w:sz w:val="15"/>
                <w:szCs w:val="15"/>
              </w:rPr>
              <w:t>国务院令第</w:t>
            </w:r>
            <w:r>
              <w:rPr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kern w:val="0"/>
                <w:sz w:val="15"/>
                <w:szCs w:val="15"/>
              </w:rPr>
              <w:t>号</w:t>
            </w:r>
            <w:r>
              <w:rPr>
                <w:kern w:val="0"/>
                <w:sz w:val="15"/>
                <w:szCs w:val="15"/>
              </w:rPr>
              <w:t>)</w:t>
            </w:r>
            <w:r>
              <w:rPr>
                <w:rFonts w:hint="eastAsia"/>
                <w:kern w:val="0"/>
                <w:sz w:val="15"/>
                <w:szCs w:val="15"/>
              </w:rPr>
              <w:t>第十六条</w:t>
            </w:r>
          </w:p>
        </w:tc>
        <w:tc>
          <w:tcPr>
            <w:tcW w:w="2070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kern w:val="0"/>
                <w:sz w:val="15"/>
                <w:szCs w:val="15"/>
              </w:rPr>
            </w:pPr>
          </w:p>
        </w:tc>
        <w:tc>
          <w:tcPr>
            <w:tcW w:w="207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kern w:val="0"/>
                <w:sz w:val="15"/>
                <w:szCs w:val="15"/>
              </w:rPr>
              <w:t>号）第十四条</w:t>
            </w:r>
          </w:p>
        </w:tc>
        <w:tc>
          <w:tcPr>
            <w:tcW w:w="9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7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户口所在地公安派出所、村（居）委会、用人单位</w:t>
            </w:r>
          </w:p>
        </w:tc>
        <w:tc>
          <w:tcPr>
            <w:tcW w:w="830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仅限于难以获取的继承人与被继承人之间的亲属关系证明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601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rFonts w:hint="eastAsia" w:eastAsia="仿宋"/>
                <w:kern w:val="0"/>
                <w:sz w:val="15"/>
                <w:szCs w:val="15"/>
                <w:lang w:val="en-US" w:eastAsia="zh-CN"/>
              </w:rPr>
            </w:pPr>
            <w:r>
              <w:rPr>
                <w:rFonts w:hint="eastAsia"/>
                <w:kern w:val="0"/>
                <w:sz w:val="15"/>
                <w:szCs w:val="15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887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被继承人或遗赠人死亡证明</w:t>
            </w:r>
          </w:p>
        </w:tc>
        <w:tc>
          <w:tcPr>
            <w:tcW w:w="10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不动产登记</w:t>
            </w:r>
          </w:p>
        </w:tc>
        <w:tc>
          <w:tcPr>
            <w:tcW w:w="23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《中华人民共和国民法典》第二百零九条</w:t>
            </w:r>
          </w:p>
        </w:tc>
        <w:tc>
          <w:tcPr>
            <w:tcW w:w="2218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《不动产登记暂行条例》（国务院令第</w:t>
            </w:r>
            <w:r>
              <w:rPr>
                <w:kern w:val="0"/>
                <w:sz w:val="15"/>
                <w:szCs w:val="15"/>
              </w:rPr>
              <w:t>656</w:t>
            </w:r>
            <w:r>
              <w:rPr>
                <w:rFonts w:hint="eastAsia"/>
                <w:kern w:val="0"/>
                <w:sz w:val="15"/>
                <w:szCs w:val="15"/>
              </w:rPr>
              <w:t>号，</w:t>
            </w:r>
            <w:r>
              <w:rPr>
                <w:kern w:val="0"/>
                <w:sz w:val="15"/>
                <w:szCs w:val="15"/>
              </w:rPr>
              <w:t>2019</w:t>
            </w:r>
            <w:r>
              <w:rPr>
                <w:rFonts w:hint="eastAsia"/>
                <w:kern w:val="0"/>
                <w:sz w:val="15"/>
                <w:szCs w:val="15"/>
              </w:rPr>
              <w:t>年</w:t>
            </w:r>
            <w:r>
              <w:rPr>
                <w:kern w:val="0"/>
                <w:sz w:val="15"/>
                <w:szCs w:val="15"/>
              </w:rPr>
              <w:t>3</w:t>
            </w:r>
            <w:r>
              <w:rPr>
                <w:rFonts w:hint="eastAsia"/>
                <w:kern w:val="0"/>
                <w:sz w:val="15"/>
                <w:szCs w:val="15"/>
              </w:rPr>
              <w:t>月</w:t>
            </w:r>
            <w:r>
              <w:rPr>
                <w:kern w:val="0"/>
                <w:sz w:val="15"/>
                <w:szCs w:val="15"/>
              </w:rPr>
              <w:t>24</w:t>
            </w:r>
            <w:r>
              <w:rPr>
                <w:rFonts w:hint="eastAsia"/>
                <w:kern w:val="0"/>
                <w:sz w:val="15"/>
                <w:szCs w:val="15"/>
              </w:rPr>
              <w:t>日修订）第十六条</w:t>
            </w:r>
            <w:r>
              <w:rPr>
                <w:kern w:val="0"/>
                <w:sz w:val="15"/>
                <w:szCs w:val="15"/>
              </w:rPr>
              <w:t xml:space="preserve"> </w:t>
            </w:r>
          </w:p>
        </w:tc>
        <w:tc>
          <w:tcPr>
            <w:tcW w:w="2070" w:type="dxa"/>
            <w:vAlign w:val="center"/>
          </w:tcPr>
          <w:p>
            <w:pPr>
              <w:widowControl/>
              <w:spacing w:line="200" w:lineRule="exact"/>
              <w:rPr>
                <w:rFonts w:cs="Times New Roman"/>
                <w:kern w:val="0"/>
                <w:sz w:val="15"/>
                <w:szCs w:val="15"/>
              </w:rPr>
            </w:pPr>
          </w:p>
        </w:tc>
        <w:tc>
          <w:tcPr>
            <w:tcW w:w="2075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《不动产登记暂行条例实施细则》（国土资源部令第</w:t>
            </w:r>
            <w:r>
              <w:rPr>
                <w:kern w:val="0"/>
                <w:sz w:val="15"/>
                <w:szCs w:val="15"/>
              </w:rPr>
              <w:t>63</w:t>
            </w:r>
            <w:r>
              <w:rPr>
                <w:rFonts w:hint="eastAsia"/>
                <w:kern w:val="0"/>
                <w:sz w:val="15"/>
                <w:szCs w:val="15"/>
              </w:rPr>
              <w:t>号，</w:t>
            </w:r>
            <w:r>
              <w:rPr>
                <w:kern w:val="0"/>
                <w:sz w:val="15"/>
                <w:szCs w:val="15"/>
              </w:rPr>
              <w:t>2016</w:t>
            </w:r>
            <w:r>
              <w:rPr>
                <w:rFonts w:hint="eastAsia"/>
                <w:kern w:val="0"/>
                <w:sz w:val="15"/>
                <w:szCs w:val="15"/>
              </w:rPr>
              <w:t>年</w:t>
            </w:r>
            <w:r>
              <w:rPr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kern w:val="0"/>
                <w:sz w:val="15"/>
                <w:szCs w:val="15"/>
              </w:rPr>
              <w:t>月</w:t>
            </w:r>
            <w:r>
              <w:rPr>
                <w:kern w:val="0"/>
                <w:sz w:val="15"/>
                <w:szCs w:val="15"/>
              </w:rPr>
              <w:t>1</w:t>
            </w:r>
            <w:r>
              <w:rPr>
                <w:rFonts w:hint="eastAsia"/>
                <w:kern w:val="0"/>
                <w:sz w:val="15"/>
                <w:szCs w:val="15"/>
              </w:rPr>
              <w:t>日公布实施）第二十七条</w:t>
            </w:r>
          </w:p>
        </w:tc>
        <w:tc>
          <w:tcPr>
            <w:tcW w:w="900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市、县级自然资源和规划部门</w:t>
            </w:r>
          </w:p>
        </w:tc>
        <w:tc>
          <w:tcPr>
            <w:tcW w:w="837" w:type="dxa"/>
            <w:vAlign w:val="center"/>
          </w:tcPr>
          <w:p>
            <w:pPr>
              <w:widowControl/>
              <w:spacing w:line="200" w:lineRule="exact"/>
              <w:textAlignment w:val="center"/>
              <w:rPr>
                <w:rFonts w:cs="Times New Roman"/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公安机关、法院、医疗机构、村（居）委会</w:t>
            </w:r>
          </w:p>
        </w:tc>
        <w:tc>
          <w:tcPr>
            <w:tcW w:w="830" w:type="dxa"/>
            <w:vAlign w:val="center"/>
          </w:tcPr>
          <w:p>
            <w:pPr>
              <w:widowControl/>
              <w:spacing w:line="200" w:lineRule="exact"/>
              <w:jc w:val="center"/>
              <w:textAlignment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难以获取的被继承人父母的死亡证明</w:t>
            </w:r>
            <w:r>
              <w:rPr>
                <w:kern w:val="0"/>
                <w:sz w:val="15"/>
                <w:szCs w:val="15"/>
              </w:rPr>
              <w:t>(</w:t>
            </w:r>
            <w:r>
              <w:rPr>
                <w:rFonts w:hint="eastAsia"/>
                <w:kern w:val="0"/>
                <w:sz w:val="15"/>
                <w:szCs w:val="15"/>
              </w:rPr>
              <w:t>其他难以获取的死亡证明可参照</w:t>
            </w:r>
            <w:r>
              <w:rPr>
                <w:kern w:val="0"/>
                <w:sz w:val="15"/>
                <w:szCs w:val="15"/>
              </w:rPr>
              <w:t>)</w:t>
            </w:r>
          </w:p>
        </w:tc>
      </w:tr>
    </w:tbl>
    <w:p>
      <w:pPr>
        <w:pStyle w:val="22"/>
        <w:rPr>
          <w:rFonts w:cs="Times New Roman"/>
          <w:color w:val="auto"/>
        </w:rPr>
      </w:pPr>
    </w:p>
    <w:sectPr>
      <w:headerReference r:id="rId3" w:type="default"/>
      <w:footerReference r:id="rId4" w:type="default"/>
      <w:pgSz w:w="16838" w:h="11906" w:orient="landscape"/>
      <w:pgMar w:top="1588" w:right="2098" w:bottom="1474" w:left="1871" w:header="851" w:footer="1531" w:gutter="0"/>
      <w:cols w:space="720" w:num="1"/>
      <w:docGrid w:type="lines" w:linePitch="595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right="360" w:firstLine="360"/>
      <w:rPr>
        <w:rFonts w:cs="Times New Roman"/>
      </w:rPr>
    </w:pPr>
    <w:r>
      <w:pict>
        <v:rect id="矩形 3" o:spid="_x0000_s4097" o:spt="1" style="position:absolute;left:0pt;margin-top:0pt;height:18.55pt;width:81pt;mso-position-horizontal:outside;mso-position-horizontal-relative:margin;mso-wrap-style:none;z-index:1024;mso-width-relative:page;mso-height-relative:page;" filled="f" stroked="f" coordsize="21600,21600">
          <v:path/>
          <v:fill on="f" focussize="0,0"/>
          <v:stroke on="f"/>
          <v:imagedata o:title=""/>
          <o:lock v:ext="edit"/>
          <v:textbox inset="0mm,0mm,0mm,0mm" style="mso-fit-shape-to-text:t;">
            <w:txbxContent>
              <w:p>
                <w:pPr>
                  <w:pStyle w:val="6"/>
                  <w:ind w:left="320" w:leftChars="100" w:right="320" w:rightChars="100"/>
                  <w:rPr>
                    <w:rStyle w:val="12"/>
                    <w:rFonts w:ascii="宋体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Style w:val="12"/>
                    <w:rFonts w:cs="Times New Roman"/>
                    <w:sz w:val="28"/>
                    <w:szCs w:val="28"/>
                  </w:rPr>
                  <w:t>—</w:t>
                </w:r>
                <w:r>
                  <w:rPr>
                    <w:rStyle w:val="12"/>
                    <w:sz w:val="28"/>
                    <w:szCs w:val="28"/>
                  </w:rPr>
                  <w:t xml:space="preserve"> </w:t>
                </w:r>
                <w:r>
                  <w:rPr>
                    <w:rStyle w:val="12"/>
                    <w:rFonts w:asci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Style w:val="12"/>
                    <w:rFonts w:ascii="宋体" w:eastAsia="宋体" w:cs="宋体"/>
                    <w:sz w:val="28"/>
                    <w:szCs w:val="28"/>
                  </w:rPr>
                  <w:instrText xml:space="preserve">PAGE  </w:instrText>
                </w:r>
                <w:r>
                  <w:rPr>
                    <w:rStyle w:val="12"/>
                    <w:rFonts w:asci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Style w:val="12"/>
                    <w:rFonts w:ascii="宋体" w:eastAsia="宋体" w:cs="宋体"/>
                    <w:sz w:val="28"/>
                    <w:szCs w:val="28"/>
                  </w:rPr>
                  <w:t>34</w:t>
                </w:r>
                <w:r>
                  <w:rPr>
                    <w:rStyle w:val="12"/>
                    <w:rFonts w:ascii="宋体" w:eastAsia="宋体" w:cs="宋体"/>
                    <w:sz w:val="28"/>
                    <w:szCs w:val="28"/>
                  </w:rPr>
                  <w:fldChar w:fldCharType="end"/>
                </w:r>
                <w:r>
                  <w:rPr>
                    <w:rStyle w:val="12"/>
                    <w:sz w:val="28"/>
                    <w:szCs w:val="28"/>
                  </w:rPr>
                  <w:t xml:space="preserve"> </w:t>
                </w:r>
                <w:r>
                  <w:rPr>
                    <w:rStyle w:val="12"/>
                    <w:rFonts w:cs="Times New Roman"/>
                    <w:sz w:val="28"/>
                    <w:szCs w:val="28"/>
                  </w:rPr>
                  <w:t>—</w:t>
                </w:r>
              </w:p>
            </w:txbxContent>
          </v:textbox>
        </v:rect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NotTrackMoves/>
  <w:documentProtection w:enforcement="0"/>
  <w:defaultTabStop w:val="420"/>
  <w:doNotHyphenateCaps/>
  <w:drawingGridHorizontalSpacing w:val="158"/>
  <w:drawingGridVerticalSpacing w:val="595"/>
  <w:displayHorizont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layout v:ext="edit">
      <o:idmap v:ext="edit" data="3,4"/>
    </o:shapelayout>
  </w:hdrShapeDefaults>
  <w:compat>
    <w:spaceForUL/>
    <w:balanceSingleByteDoubleByteWidth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61CFD"/>
    <w:rsid w:val="00110B91"/>
    <w:rsid w:val="0013398B"/>
    <w:rsid w:val="00152BCB"/>
    <w:rsid w:val="001A2692"/>
    <w:rsid w:val="001A5E04"/>
    <w:rsid w:val="001C588D"/>
    <w:rsid w:val="00231996"/>
    <w:rsid w:val="002416AF"/>
    <w:rsid w:val="002F4368"/>
    <w:rsid w:val="003137CB"/>
    <w:rsid w:val="003378F4"/>
    <w:rsid w:val="00356AD2"/>
    <w:rsid w:val="00381A2E"/>
    <w:rsid w:val="003C17F2"/>
    <w:rsid w:val="003F5187"/>
    <w:rsid w:val="004530E1"/>
    <w:rsid w:val="00482560"/>
    <w:rsid w:val="004D46D5"/>
    <w:rsid w:val="00590BD7"/>
    <w:rsid w:val="005E0391"/>
    <w:rsid w:val="008F69B1"/>
    <w:rsid w:val="00925769"/>
    <w:rsid w:val="00933C8F"/>
    <w:rsid w:val="009E4985"/>
    <w:rsid w:val="00A045BE"/>
    <w:rsid w:val="00A64EB7"/>
    <w:rsid w:val="00AC54FE"/>
    <w:rsid w:val="00B00549"/>
    <w:rsid w:val="00B04502"/>
    <w:rsid w:val="00B35E23"/>
    <w:rsid w:val="00B54D2D"/>
    <w:rsid w:val="00B55BA5"/>
    <w:rsid w:val="00B61CFD"/>
    <w:rsid w:val="00C7596C"/>
    <w:rsid w:val="00CA02F7"/>
    <w:rsid w:val="00CE7EE1"/>
    <w:rsid w:val="00D07A22"/>
    <w:rsid w:val="00E272F2"/>
    <w:rsid w:val="00E85CB3"/>
    <w:rsid w:val="00F72337"/>
    <w:rsid w:val="00F80322"/>
    <w:rsid w:val="04316684"/>
    <w:rsid w:val="06972B84"/>
    <w:rsid w:val="3C4216C1"/>
    <w:rsid w:val="44EE597E"/>
    <w:rsid w:val="4A875C37"/>
    <w:rsid w:val="74A07CB1"/>
    <w:rsid w:val="7C0C1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nhideWhenUsed="0" w:uiPriority="99" w:semiHidden="0" w:name="FollowedHyperlink"/>
    <w:lsdException w:qFormat="1" w:unhideWhenUsed="0" w:uiPriority="99" w:semiHidden="0" w:name="Strong"/>
    <w:lsdException w:qFormat="1"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" w:hAnsi="Times New Roman" w:eastAsia="仿宋" w:cs="仿宋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link w:val="16"/>
    <w:qFormat/>
    <w:uiPriority w:val="99"/>
    <w:pPr>
      <w:spacing w:beforeAutospacing="1" w:afterAutospacing="1"/>
      <w:jc w:val="left"/>
      <w:outlineLvl w:val="0"/>
    </w:pPr>
    <w:rPr>
      <w:rFonts w:ascii="宋体" w:eastAsia="宋体" w:cs="宋体"/>
      <w:b/>
      <w:bCs/>
      <w:kern w:val="44"/>
      <w:sz w:val="48"/>
      <w:szCs w:val="48"/>
    </w:rPr>
  </w:style>
  <w:style w:type="paragraph" w:styleId="4">
    <w:name w:val="heading 2"/>
    <w:basedOn w:val="1"/>
    <w:next w:val="1"/>
    <w:link w:val="17"/>
    <w:qFormat/>
    <w:uiPriority w:val="99"/>
    <w:pPr>
      <w:spacing w:beforeAutospacing="1" w:afterAutospacing="1"/>
      <w:jc w:val="left"/>
      <w:outlineLvl w:val="1"/>
    </w:pPr>
    <w:rPr>
      <w:rFonts w:ascii="宋体" w:eastAsia="宋体" w:cs="宋体"/>
      <w:b/>
      <w:bCs/>
      <w:kern w:val="0"/>
      <w:sz w:val="36"/>
      <w:szCs w:val="36"/>
    </w:rPr>
  </w:style>
  <w:style w:type="paragraph" w:styleId="5">
    <w:name w:val="heading 3"/>
    <w:basedOn w:val="1"/>
    <w:next w:val="1"/>
    <w:link w:val="18"/>
    <w:qFormat/>
    <w:uiPriority w:val="99"/>
    <w:pPr>
      <w:spacing w:beforeAutospacing="1" w:afterAutospacing="1"/>
      <w:jc w:val="left"/>
      <w:outlineLvl w:val="2"/>
    </w:pPr>
    <w:rPr>
      <w:rFonts w:asci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9"/>
    <w:qFormat/>
    <w:uiPriority w:val="99"/>
    <w:pPr>
      <w:spacing w:line="240" w:lineRule="atLeast"/>
    </w:pPr>
    <w:rPr>
      <w:rFonts w:eastAsia="小标宋"/>
      <w:sz w:val="44"/>
      <w:szCs w:val="44"/>
    </w:rPr>
  </w:style>
  <w:style w:type="paragraph" w:styleId="6">
    <w:name w:val="footer"/>
    <w:basedOn w:val="1"/>
    <w:link w:val="2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iPriority w:val="99"/>
    <w:rPr>
      <w:sz w:val="24"/>
      <w:szCs w:val="24"/>
    </w:rPr>
  </w:style>
  <w:style w:type="character" w:styleId="11">
    <w:name w:val="Strong"/>
    <w:basedOn w:val="10"/>
    <w:qFormat/>
    <w:uiPriority w:val="99"/>
    <w:rPr>
      <w:b/>
      <w:bCs/>
    </w:rPr>
  </w:style>
  <w:style w:type="character" w:styleId="12">
    <w:name w:val="page number"/>
    <w:basedOn w:val="10"/>
    <w:uiPriority w:val="99"/>
  </w:style>
  <w:style w:type="character" w:styleId="13">
    <w:name w:val="FollowedHyperlink"/>
    <w:basedOn w:val="10"/>
    <w:uiPriority w:val="99"/>
    <w:rPr>
      <w:color w:val="auto"/>
      <w:sz w:val="18"/>
      <w:szCs w:val="18"/>
      <w:u w:val="none"/>
    </w:rPr>
  </w:style>
  <w:style w:type="character" w:styleId="14">
    <w:name w:val="Emphasis"/>
    <w:basedOn w:val="10"/>
    <w:qFormat/>
    <w:uiPriority w:val="99"/>
  </w:style>
  <w:style w:type="character" w:styleId="15">
    <w:name w:val="Hyperlink"/>
    <w:basedOn w:val="10"/>
    <w:qFormat/>
    <w:uiPriority w:val="99"/>
    <w:rPr>
      <w:color w:val="auto"/>
      <w:sz w:val="18"/>
      <w:szCs w:val="18"/>
      <w:u w:val="none"/>
    </w:rPr>
  </w:style>
  <w:style w:type="character" w:customStyle="1" w:styleId="16">
    <w:name w:val="标题 1 Char"/>
    <w:basedOn w:val="10"/>
    <w:link w:val="3"/>
    <w:locked/>
    <w:uiPriority w:val="99"/>
    <w:rPr>
      <w:rFonts w:ascii="仿宋" w:eastAsia="仿宋" w:cs="仿宋"/>
      <w:b/>
      <w:bCs/>
      <w:kern w:val="44"/>
      <w:sz w:val="44"/>
      <w:szCs w:val="44"/>
    </w:rPr>
  </w:style>
  <w:style w:type="character" w:customStyle="1" w:styleId="17">
    <w:name w:val="标题 2 Char"/>
    <w:basedOn w:val="10"/>
    <w:link w:val="4"/>
    <w:semiHidden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18">
    <w:name w:val="标题 3 Char"/>
    <w:basedOn w:val="10"/>
    <w:link w:val="5"/>
    <w:semiHidden/>
    <w:qFormat/>
    <w:locked/>
    <w:uiPriority w:val="99"/>
    <w:rPr>
      <w:rFonts w:ascii="仿宋" w:eastAsia="仿宋" w:cs="仿宋"/>
      <w:b/>
      <w:bCs/>
      <w:sz w:val="32"/>
      <w:szCs w:val="32"/>
    </w:rPr>
  </w:style>
  <w:style w:type="character" w:customStyle="1" w:styleId="19">
    <w:name w:val="正文文本 Char"/>
    <w:basedOn w:val="10"/>
    <w:link w:val="2"/>
    <w:semiHidden/>
    <w:locked/>
    <w:uiPriority w:val="99"/>
    <w:rPr>
      <w:rFonts w:ascii="仿宋" w:eastAsia="仿宋" w:cs="仿宋"/>
      <w:sz w:val="32"/>
      <w:szCs w:val="32"/>
    </w:rPr>
  </w:style>
  <w:style w:type="character" w:customStyle="1" w:styleId="20">
    <w:name w:val="页脚 Char"/>
    <w:basedOn w:val="10"/>
    <w:link w:val="6"/>
    <w:semiHidden/>
    <w:locked/>
    <w:uiPriority w:val="99"/>
    <w:rPr>
      <w:rFonts w:ascii="仿宋" w:eastAsia="仿宋" w:cs="仿宋"/>
      <w:sz w:val="18"/>
      <w:szCs w:val="18"/>
    </w:rPr>
  </w:style>
  <w:style w:type="character" w:customStyle="1" w:styleId="21">
    <w:name w:val="页眉 Char"/>
    <w:basedOn w:val="10"/>
    <w:link w:val="7"/>
    <w:semiHidden/>
    <w:locked/>
    <w:uiPriority w:val="99"/>
    <w:rPr>
      <w:rFonts w:ascii="仿宋" w:eastAsia="仿宋" w:cs="仿宋"/>
      <w:sz w:val="18"/>
      <w:szCs w:val="18"/>
    </w:rPr>
  </w:style>
  <w:style w:type="paragraph" w:customStyle="1" w:styleId="22">
    <w:name w:val="Default"/>
    <w:basedOn w:val="1"/>
    <w:uiPriority w:val="99"/>
    <w:pPr>
      <w:autoSpaceDE w:val="0"/>
      <w:autoSpaceDN w:val="0"/>
      <w:adjustRightInd w:val="0"/>
      <w:jc w:val="left"/>
    </w:pPr>
    <w:rPr>
      <w:rFonts w:ascii="方正仿宋_GBK" w:hAnsi="方正仿宋_GBK" w:cs="方正仿宋_GBK"/>
      <w:color w:val="000000"/>
      <w:kern w:val="0"/>
      <w:sz w:val="24"/>
      <w:szCs w:val="24"/>
    </w:rPr>
  </w:style>
  <w:style w:type="character" w:customStyle="1" w:styleId="23">
    <w:name w:val="wenzhang1"/>
    <w:basedOn w:val="10"/>
    <w:qFormat/>
    <w:uiPriority w:val="99"/>
    <w:rPr>
      <w:rFonts w:ascii="宋体" w:eastAsia="宋体" w:cs="宋体"/>
      <w:color w:val="000000"/>
      <w:sz w:val="21"/>
      <w:szCs w:val="21"/>
    </w:rPr>
  </w:style>
  <w:style w:type="character" w:customStyle="1" w:styleId="24">
    <w:name w:val="font61"/>
    <w:basedOn w:val="10"/>
    <w:qFormat/>
    <w:uiPriority w:val="99"/>
    <w:rPr>
      <w:rFonts w:ascii="宋体" w:eastAsia="宋体" w:cs="宋体"/>
      <w:color w:val="000000"/>
      <w:sz w:val="20"/>
      <w:szCs w:val="20"/>
      <w:u w:val="none"/>
    </w:rPr>
  </w:style>
  <w:style w:type="character" w:customStyle="1" w:styleId="25">
    <w:name w:val="font01"/>
    <w:basedOn w:val="10"/>
    <w:uiPriority w:val="99"/>
    <w:rPr>
      <w:rFonts w:ascii="宋体" w:eastAsia="宋体" w:cs="宋体"/>
      <w:color w:val="000000"/>
      <w:sz w:val="20"/>
      <w:szCs w:val="20"/>
      <w:u w:val="none"/>
    </w:rPr>
  </w:style>
  <w:style w:type="character" w:customStyle="1" w:styleId="26">
    <w:name w:val="font41"/>
    <w:basedOn w:val="10"/>
    <w:qFormat/>
    <w:uiPriority w:val="99"/>
    <w:rPr>
      <w:rFonts w:ascii="宋体" w:eastAsia="宋体" w:cs="宋体"/>
      <w:color w:val="000000"/>
      <w:sz w:val="20"/>
      <w:szCs w:val="20"/>
      <w:u w:val="none"/>
    </w:rPr>
  </w:style>
  <w:style w:type="character" w:customStyle="1" w:styleId="27">
    <w:name w:val="font31"/>
    <w:basedOn w:val="10"/>
    <w:qFormat/>
    <w:uiPriority w:val="99"/>
    <w:rPr>
      <w:rFonts w:ascii="宋体" w:eastAsia="宋体" w:cs="宋体"/>
      <w:color w:val="000000"/>
      <w:sz w:val="20"/>
      <w:szCs w:val="20"/>
      <w:u w:val="none"/>
    </w:rPr>
  </w:style>
  <w:style w:type="character" w:customStyle="1" w:styleId="28">
    <w:name w:val="font12"/>
    <w:basedOn w:val="10"/>
    <w:qFormat/>
    <w:uiPriority w:val="99"/>
    <w:rPr>
      <w:rFonts w:ascii="宋体" w:eastAsia="宋体" w:cs="宋体"/>
      <w:color w:val="FF0000"/>
      <w:sz w:val="20"/>
      <w:szCs w:val="20"/>
      <w:u w:val="none"/>
    </w:rPr>
  </w:style>
  <w:style w:type="character" w:customStyle="1" w:styleId="29">
    <w:name w:val="font21"/>
    <w:basedOn w:val="10"/>
    <w:qFormat/>
    <w:uiPriority w:val="99"/>
    <w:rPr>
      <w:rFonts w:ascii="宋体" w:eastAsia="宋体" w:cs="宋体"/>
      <w:color w:val="000000"/>
      <w:sz w:val="20"/>
      <w:szCs w:val="20"/>
      <w:u w:val="none"/>
    </w:rPr>
  </w:style>
  <w:style w:type="character" w:customStyle="1" w:styleId="30">
    <w:name w:val="font71"/>
    <w:basedOn w:val="10"/>
    <w:qFormat/>
    <w:uiPriority w:val="99"/>
    <w:rPr>
      <w:rFonts w:ascii="宋体" w:eastAsia="宋体" w:cs="宋体"/>
      <w:color w:val="000000"/>
      <w:sz w:val="18"/>
      <w:szCs w:val="18"/>
      <w:u w:val="none"/>
    </w:rPr>
  </w:style>
  <w:style w:type="character" w:customStyle="1" w:styleId="31">
    <w:name w:val="font11"/>
    <w:basedOn w:val="10"/>
    <w:qFormat/>
    <w:uiPriority w:val="99"/>
    <w:rPr>
      <w:rFonts w:ascii="宋体" w:eastAsia="宋体" w:cs="宋体"/>
      <w:color w:val="000000"/>
      <w:sz w:val="20"/>
      <w:szCs w:val="20"/>
      <w:u w:val="none"/>
    </w:rPr>
  </w:style>
  <w:style w:type="paragraph" w:customStyle="1" w:styleId="32">
    <w:name w:val="List Paragraph1"/>
    <w:basedOn w:val="1"/>
    <w:qFormat/>
    <w:uiPriority w:val="99"/>
    <w:pPr>
      <w:ind w:firstLine="20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41</Pages>
  <Words>4577</Words>
  <Characters>26094</Characters>
  <Lines>217</Lines>
  <Paragraphs>61</Paragraphs>
  <TotalTime>32</TotalTime>
  <ScaleCrop>false</ScaleCrop>
  <LinksUpToDate>false</LinksUpToDate>
  <CharactersWithSpaces>30610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2021-08-23T07:04:00Z</dcterms:created>
  <dc:creator>刘浩然</dc:creator>
  <cp:lastModifiedBy>Administrator</cp:lastModifiedBy>
  <cp:lastPrinted>2021-08-24T07:57:00Z</cp:lastPrinted>
  <dcterms:modified xsi:type="dcterms:W3CDTF">2022-08-31T08:43:47Z</dcterms:modified>
  <cp:revision>17</cp:revision>
  <dc:title>附件2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033FBF59D1B544A68C6AEE75C1FC05CE</vt:lpwstr>
  </property>
</Properties>
</file>